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color w:val="00000A"/>
        </w:rPr>
      </w:pPr>
      <w:r>
        <w:rPr>
          <w:rFonts w:ascii="Calibri" w:hAnsi="Calibri"/>
          <w:color w:val="00000A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.75pt;margin-top:2.45pt;width:469.95pt;height:94.3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1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/>
      </w:pPr>
      <w:r>
        <w:rPr>
          <w:b/>
          <w:color w:val="00000A"/>
          <w:sz w:val="28"/>
        </w:rPr>
        <w:t>вторник, 20 мая 2025 года</w:t>
      </w:r>
    </w:p>
    <w:p>
      <w:pPr>
        <w:pStyle w:val="Normal"/>
        <w:jc w:val="center"/>
        <w:rPr/>
      </w:pPr>
      <w:r>
        <w:rPr>
          <w:b/>
          <w:color w:val="00000A"/>
          <w:sz w:val="28"/>
        </w:rPr>
        <w:t xml:space="preserve">№ </w:t>
      </w:r>
      <w:r>
        <w:rPr>
          <w:b/>
          <w:color w:val="00000A"/>
          <w:sz w:val="28"/>
        </w:rPr>
        <w:t>1</w:t>
      </w:r>
      <w:r>
        <w:rPr>
          <w:b/>
          <w:color w:val="00000A"/>
          <w:sz w:val="28"/>
        </w:rPr>
        <w:t>9</w:t>
      </w:r>
    </w:p>
    <w:p>
      <w:pPr>
        <w:pStyle w:val="Normal"/>
        <w:jc w:val="center"/>
        <w:rPr>
          <w:b/>
          <w:b/>
          <w:color w:val="00000A"/>
          <w:u w:val="single"/>
        </w:rPr>
      </w:pP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>Российская Федерация, Ростовская область, Тацинский район</w: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>Муниципальное образование «Ковылкинское сельское поселение»</w:t>
      </w:r>
    </w:p>
    <w:p>
      <w:pPr>
        <w:pStyle w:val="Normal"/>
        <w:jc w:val="both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 xml:space="preserve">                                                    </w:t>
      </w:r>
      <w:r>
        <w:rPr>
          <w:b/>
          <w:color w:val="00000A"/>
          <w:sz w:val="20"/>
        </w:rPr>
        <w:t>Администрация Ковылкинского сельского поселения</w:t>
      </w:r>
    </w:p>
    <w:p>
      <w:pPr>
        <w:pStyle w:val="NoSpacing1"/>
        <w:jc w:val="both"/>
        <w:rPr/>
      </w:pPr>
      <w:r>
        <w:rPr>
          <w:rFonts w:ascii="Times New Roman" w:hAnsi="Times New Roman"/>
          <w:b/>
          <w:sz w:val="18"/>
        </w:rPr>
        <w:t>Официальное средство массовой информации Ковылкинского  сельского поселения «Ковылкинский вестник» издается на основании 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jc w:val="both"/>
        <w:rPr/>
      </w:pPr>
      <w:r>
        <w:rPr>
          <w:b/>
          <w:sz w:val="20"/>
        </w:rPr>
        <w:t>Администрация Ковылкинского сельского поселения</w:t>
      </w:r>
    </w:p>
    <w:p>
      <w:pPr>
        <w:pStyle w:val="Style20"/>
        <w:spacing w:lineRule="atLeast" w:line="200"/>
        <w:rPr/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      </w:t>
      </w:r>
    </w:p>
    <w:p>
      <w:pPr>
        <w:pStyle w:val="Style20"/>
        <w:spacing w:lineRule="atLeast" w:line="200"/>
        <w:rPr/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color w:val="FF0000"/>
          <w:sz w:val="24"/>
          <w:szCs w:val="24"/>
        </w:rPr>
        <w:tab/>
        <w:t xml:space="preserve">                                     </w:t>
      </w:r>
      <w:r>
        <w:rPr>
          <w:color w:val="000000"/>
          <w:sz w:val="24"/>
          <w:szCs w:val="24"/>
        </w:rPr>
        <w:t xml:space="preserve">   ИНФОРМАЦИОННОЕ СООБЩЕНИЕ </w:t>
      </w:r>
    </w:p>
    <w:p>
      <w:pPr>
        <w:pStyle w:val="Style20"/>
        <w:spacing w:lineRule="atLeast" w:line="200"/>
        <w:rPr>
          <w:b w:val="false"/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b w:val="false"/>
          <w:color w:val="000000"/>
          <w:sz w:val="24"/>
          <w:szCs w:val="24"/>
        </w:rPr>
        <w:t xml:space="preserve">о проведении аукциона в электронной форме по продаже муниципального имущества, находящегося в собственности муниципального образования «Ковылкинское сельское поселение» </w:t>
      </w:r>
    </w:p>
    <w:p>
      <w:pPr>
        <w:pStyle w:val="Normal"/>
        <w:jc w:val="center"/>
        <w:rPr>
          <w:b w:val="false"/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Во исполнение решения </w:t>
      </w:r>
      <w:r>
        <w:rPr>
          <w:rFonts w:eastAsia="SimSun" w:cs="Mangal"/>
          <w:b w:val="false"/>
          <w:bCs w:val="false"/>
          <w:color w:val="000000"/>
          <w:sz w:val="24"/>
          <w:szCs w:val="24"/>
          <w:lang w:eastAsia="zh-CN" w:bidi="hi-IN"/>
        </w:rPr>
        <w:t xml:space="preserve"> Собрания  депутатов Ковылкинского сельского поселения  от 31.03.2025г № 143 "</w:t>
      </w:r>
      <w:r>
        <w:rPr>
          <w:b w:val="false"/>
          <w:bCs w:val="false"/>
          <w:sz w:val="24"/>
          <w:szCs w:val="24"/>
        </w:rPr>
        <w:t xml:space="preserve">О внесении изменений в решение Собрания депутатов Ковылкинского сельского поселения  от 28.11.2024 №123 </w:t>
      </w:r>
      <w:r>
        <w:rPr>
          <w:b w:val="false"/>
          <w:bCs w:val="false"/>
          <w:spacing w:val="2"/>
          <w:sz w:val="24"/>
          <w:szCs w:val="24"/>
        </w:rPr>
        <w:t>«Об утверждении прогнозного плана (программы) приватизации муниципального имущества Ковылкинского сельского поселения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pacing w:val="2"/>
          <w:sz w:val="24"/>
          <w:szCs w:val="24"/>
        </w:rPr>
        <w:t>на 2025 год</w:t>
      </w:r>
      <w:r>
        <w:rPr>
          <w:b w:val="false"/>
          <w:bCs w:val="false"/>
          <w:sz w:val="24"/>
          <w:szCs w:val="24"/>
        </w:rPr>
        <w:t xml:space="preserve"> и на плановый </w:t>
      </w:r>
      <w:r>
        <w:rPr>
          <w:b w:val="false"/>
          <w:bCs w:val="false"/>
          <w:spacing w:val="-4"/>
          <w:sz w:val="24"/>
          <w:szCs w:val="24"/>
        </w:rPr>
        <w:t>период  2026 и 2027 годов»</w:t>
      </w:r>
      <w:r>
        <w:rPr>
          <w:color w:val="000000"/>
          <w:sz w:val="24"/>
          <w:szCs w:val="24"/>
        </w:rPr>
        <w:t xml:space="preserve">, постановления Администрации </w:t>
      </w:r>
      <w:r>
        <w:rPr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19.05.2025 №52</w:t>
      </w:r>
      <w:r>
        <w:rPr>
          <w:sz w:val="24"/>
          <w:szCs w:val="24"/>
        </w:rPr>
        <w:t xml:space="preserve"> «</w:t>
      </w:r>
      <w:bookmarkStart w:id="0" w:name="_Hlk493078558"/>
      <w:r>
        <w:rPr>
          <w:sz w:val="24"/>
          <w:szCs w:val="24"/>
        </w:rPr>
        <w:t>Об организации и проведении аукциона по приватизации муниципального имущества</w:t>
      </w:r>
      <w:bookmarkEnd w:id="0"/>
      <w:r>
        <w:rPr>
          <w:sz w:val="24"/>
          <w:szCs w:val="24"/>
        </w:rPr>
        <w:t>» ,</w:t>
      </w:r>
      <w:r>
        <w:rPr>
          <w:color w:val="000000"/>
          <w:sz w:val="24"/>
          <w:szCs w:val="24"/>
        </w:rPr>
        <w:t xml:space="preserve"> Администрации Ковылкинского сельского поселения</w:t>
      </w:r>
      <w:r>
        <w:rPr>
          <w:sz w:val="24"/>
          <w:szCs w:val="24"/>
        </w:rPr>
        <w:t xml:space="preserve"> объявляет о проведении аукциона в электронной форме по продаже муниципального имущества (далее – Процедура). Процедура проводится в порядке, установленном в настоящем Информационном сообщении о проведении аукциона в электронной форме по продаже муниципального имущества, находящегося в собственности муниципального образования МО «Ковылкинское сельское поселение» (далее — Информационное сообщение).</w:t>
      </w:r>
    </w:p>
    <w:p>
      <w:pPr>
        <w:pStyle w:val="Default"/>
        <w:spacing w:lineRule="atLeast" w:line="200"/>
        <w:jc w:val="both"/>
        <w:rPr/>
      </w:pPr>
      <w:r>
        <w:rPr>
          <w:b/>
          <w:color w:val="000000"/>
          <w:sz w:val="24"/>
          <w:szCs w:val="24"/>
        </w:rPr>
        <w:tab/>
        <w:t xml:space="preserve">                                                            1.Продавец</w:t>
      </w:r>
    </w:p>
    <w:p>
      <w:pPr>
        <w:pStyle w:val="Default"/>
        <w:spacing w:lineRule="atLeast" w:line="200"/>
        <w:jc w:val="both"/>
        <w:rPr/>
      </w:pPr>
      <w:r>
        <w:rPr>
          <w:sz w:val="24"/>
          <w:szCs w:val="24"/>
        </w:rPr>
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Т.В. </w:t>
      </w:r>
    </w:p>
    <w:p>
      <w:pPr>
        <w:pStyle w:val="Default"/>
        <w:spacing w:lineRule="atLeast" w:line="200"/>
        <w:jc w:val="both"/>
        <w:rPr/>
      </w:pPr>
      <w:r>
        <w:rPr>
          <w:bCs/>
          <w:sz w:val="24"/>
          <w:szCs w:val="24"/>
        </w:rPr>
        <w:t>Место нахождения: 347078, Ростовская область, Тацинский район, х.Ковылкин, ул.Советская, 26</w:t>
      </w:r>
      <w:r>
        <w:rPr>
          <w:sz w:val="24"/>
          <w:szCs w:val="24"/>
        </w:rPr>
        <w:t>.</w:t>
      </w:r>
    </w:p>
    <w:p>
      <w:pPr>
        <w:pStyle w:val="Default"/>
        <w:spacing w:lineRule="atLeast" w:line="200"/>
        <w:jc w:val="both"/>
        <w:rPr/>
      </w:pPr>
      <w:r>
        <w:rPr>
          <w:bCs/>
          <w:sz w:val="24"/>
          <w:szCs w:val="24"/>
        </w:rPr>
        <w:t xml:space="preserve">Почтовый адрес: 347078, Ростовская область, Тацинский район, х.Ковылкин, ул.Советская, 26.  </w:t>
      </w:r>
      <w:r>
        <w:rPr>
          <w:sz w:val="24"/>
          <w:szCs w:val="24"/>
        </w:rPr>
        <w:t xml:space="preserve"> </w:t>
      </w:r>
    </w:p>
    <w:p>
      <w:pPr>
        <w:pStyle w:val="Default"/>
        <w:spacing w:lineRule="atLeast" w:line="200"/>
        <w:jc w:val="both"/>
        <w:rPr/>
      </w:pPr>
      <w:r>
        <w:rPr>
          <w:sz w:val="24"/>
          <w:szCs w:val="24"/>
        </w:rPr>
        <w:t>телефон 8(863 97)2-45-45,  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2">
        <w:r>
          <w:rPr>
            <w:rStyle w:val="Style16"/>
            <w:rFonts w:cs="Times New Roman"/>
            <w:b/>
            <w:bCs/>
            <w:sz w:val="24"/>
            <w:szCs w:val="24"/>
            <w:u w:val="single"/>
            <w:lang w:val="en-US"/>
          </w:rPr>
          <w:t>sp38398@yandex.ru</w:t>
        </w:r>
      </w:hyperlink>
    </w:p>
    <w:p>
      <w:pPr>
        <w:pStyle w:val="Default"/>
        <w:spacing w:lineRule="atLeast" w:line="200"/>
        <w:jc w:val="both"/>
        <w:rPr/>
      </w:pPr>
      <w:r>
        <w:rPr>
          <w:bCs/>
          <w:color w:val="1C1C1C"/>
          <w:sz w:val="24"/>
          <w:szCs w:val="24"/>
        </w:rPr>
        <w:t xml:space="preserve">График работы: ежедневно с </w:t>
      </w:r>
      <w:r>
        <w:rPr>
          <w:bCs/>
          <w:color w:val="000000"/>
          <w:sz w:val="24"/>
          <w:szCs w:val="24"/>
        </w:rPr>
        <w:t>08.30 до 16.30</w:t>
      </w:r>
      <w:r>
        <w:rPr>
          <w:bCs/>
          <w:color w:val="1C1C1C"/>
          <w:sz w:val="24"/>
          <w:szCs w:val="24"/>
        </w:rPr>
        <w:t xml:space="preserve"> (кроме субботы, воскресенья), </w:t>
      </w:r>
    </w:p>
    <w:p>
      <w:pPr>
        <w:pStyle w:val="Default"/>
        <w:spacing w:lineRule="atLeast" w:line="200"/>
        <w:jc w:val="both"/>
        <w:rPr/>
      </w:pPr>
      <w:r>
        <w:rPr>
          <w:bCs/>
          <w:color w:val="1C1C1C"/>
          <w:sz w:val="24"/>
          <w:szCs w:val="24"/>
        </w:rPr>
        <w:t>перерыв с 12.00 до 13.00.</w:t>
      </w:r>
    </w:p>
    <w:p>
      <w:pPr>
        <w:pStyle w:val="Default"/>
        <w:spacing w:lineRule="atLeast" w:line="200"/>
        <w:jc w:val="both"/>
        <w:rPr/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2. Оператор процедуры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>ООО «РТС-тендер»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>Место нахождения: 127006, г. Москва, ул. Долгоруковская, д. 38, стр. 1.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>Сайт: www.rts-tender.ru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>Адрес электронной почты: iSupport@rts-tender.ru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 xml:space="preserve">тел.: +7 (499) 653-55-00, +7 (800)-500-7-500, факс: +7 (495) 733-95-19. 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3. Предмет процедуры, с</w:t>
      </w:r>
      <w:r>
        <w:rPr>
          <w:b/>
          <w:color w:val="000000"/>
          <w:sz w:val="24"/>
          <w:szCs w:val="24"/>
        </w:rPr>
        <w:t>ведения о начальной цене продажи объектов, шаге Процедуры, размере задатка</w:t>
      </w:r>
    </w:p>
    <w:p>
      <w:pPr>
        <w:pStyle w:val="Default"/>
        <w:spacing w:lineRule="atLeast" w:line="200"/>
        <w:jc w:val="both"/>
        <w:rPr/>
      </w:pPr>
      <w:r>
        <w:rPr>
          <w:b/>
        </w:rPr>
        <w:t>Лот № 1</w:t>
      </w:r>
      <w:r>
        <w:rPr/>
        <w:t xml:space="preserve"> - </w:t>
      </w:r>
      <w:r>
        <w:rPr>
          <w:iCs/>
        </w:rPr>
        <w:t xml:space="preserve">Земельный участок: категория земель- земли сельскохозяйственного назначения, разрешенное использование: </w:t>
      </w:r>
      <w:r>
        <w:rPr>
          <w:rFonts w:ascii="TimesNewRomanPSMT" w:hAnsi="TimesNewRomanPSMT"/>
          <w:iCs/>
          <w:sz w:val="24"/>
          <w:szCs w:val="24"/>
        </w:rPr>
        <w:t>В</w:t>
      </w:r>
      <w:r>
        <w:rPr>
          <w:rFonts w:ascii="TimesNewRomanPSMT" w:hAnsi="TimesNewRomanPSMT"/>
          <w:sz w:val="24"/>
          <w:szCs w:val="24"/>
        </w:rPr>
        <w:t>ыращивание зерновых и иных сельскохозяйственных культур</w:t>
      </w:r>
      <w:r>
        <w:rPr>
          <w:rFonts w:ascii="TimesNewRomanPSMT" w:hAnsi="TimesNewRomanPSMT"/>
          <w:iCs/>
          <w:sz w:val="24"/>
          <w:szCs w:val="24"/>
        </w:rPr>
        <w:t>,</w:t>
      </w:r>
      <w:r>
        <w:rPr>
          <w:iCs/>
        </w:rPr>
        <w:t xml:space="preserve"> площадью </w:t>
      </w:r>
      <w:r>
        <w:rPr>
          <w:rFonts w:ascii="TimesNewRomanPSMT" w:hAnsi="TimesNewRomanPSMT"/>
          <w:iCs/>
          <w:sz w:val="24"/>
          <w:szCs w:val="24"/>
        </w:rPr>
        <w:t>10000 +/- 140</w:t>
      </w:r>
      <w:r>
        <w:rPr/>
        <w:t xml:space="preserve"> кв.м., </w:t>
      </w:r>
      <w:r>
        <w:rPr>
          <w:iCs/>
        </w:rPr>
        <w:t xml:space="preserve">кадастровый номер: </w:t>
      </w:r>
      <w:r>
        <w:rPr/>
        <w:t>61:38:0600010:418</w:t>
      </w:r>
      <w:r>
        <w:rPr>
          <w:iCs/>
        </w:rPr>
        <w:t xml:space="preserve">. Местоположение: </w:t>
      </w:r>
      <w:r>
        <w:rPr>
          <w:rFonts w:ascii="TimesNewRomanPSMT" w:hAnsi="TimesNewRomanPSMT"/>
          <w:iCs/>
          <w:sz w:val="24"/>
          <w:szCs w:val="24"/>
        </w:rPr>
        <w:t>Р</w:t>
      </w:r>
      <w:r>
        <w:rPr>
          <w:rFonts w:ascii="TimesNewRomanPSMT" w:hAnsi="TimesNewRomanPSMT"/>
          <w:sz w:val="24"/>
          <w:szCs w:val="24"/>
        </w:rPr>
        <w:t>остовская обл, р-н Тацинский, в 1 км по направлению на север от х. Ковылкин.</w:t>
      </w:r>
    </w:p>
    <w:p>
      <w:pPr>
        <w:pStyle w:val="Default"/>
        <w:spacing w:lineRule="atLeast" w:line="200"/>
        <w:jc w:val="both"/>
        <w:rPr/>
      </w:pPr>
      <w:r>
        <w:rPr>
          <w:iCs/>
        </w:rPr>
        <w:t xml:space="preserve">Начальная цена – 113100 (сто тринадцать тысяч сто) рублей 00 копеек,. </w:t>
      </w:r>
      <w:r>
        <w:rPr>
          <w:rFonts w:eastAsia="Times New Roman"/>
          <w:iCs/>
          <w:sz w:val="24"/>
          <w:szCs w:val="24"/>
          <w:lang w:eastAsia="ru-RU"/>
        </w:rPr>
        <w:t>согласно отчёта  об оценке земельного участка №04/25 05  от 10.04.2025г.,  сумма задатка 113100 (сто тринадцать тысяч сто) рублей 00 копеек.</w:t>
      </w:r>
    </w:p>
    <w:p>
      <w:pPr>
        <w:pStyle w:val="Default"/>
        <w:spacing w:lineRule="atLeast" w:line="200"/>
        <w:ind w:left="0" w:right="0" w:firstLine="720"/>
        <w:jc w:val="both"/>
        <w:rPr/>
      </w:pPr>
      <w:r>
        <w:rPr>
          <w:b w:val="false"/>
          <w:iCs/>
          <w:color w:val="000000"/>
          <w:sz w:val="24"/>
          <w:szCs w:val="24"/>
        </w:rPr>
        <w:t>Шаг аукциона 3% от начальной стоимости, который составляет 3393,00 руб.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4. Порядок осмотра объекта (лота) Процедуры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color w:val="000000"/>
          <w:sz w:val="24"/>
          <w:szCs w:val="24"/>
        </w:rPr>
        <w:t>Осмотр объектов производится без взимания платы и обеспечивается Продавцом по предварительному согласованию (уточнению) времени проведения осмотра на основании направленного обращения. Обращения могут быть направлены не позднее чем за два рабочих дня до даты и времени окончания подачи (приема) Заявок, указанной в п.3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Для осмотра объектов, с учетом установленных сроков, лицо, желающее осмотреть объекты, направляет обращение по электронной почте</w:t>
      </w:r>
      <w:r>
        <w:rPr>
          <w:color w:val="1C1C1C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hyperlink r:id="rId3">
        <w:r>
          <w:rPr>
            <w:rStyle w:val="Style16"/>
            <w:rFonts w:cs="Times New Roman"/>
            <w:b/>
            <w:color w:val="000000"/>
            <w:sz w:val="24"/>
            <w:szCs w:val="24"/>
            <w:u w:val="single"/>
            <w:lang w:val="en-US"/>
          </w:rPr>
          <w:t>sp</w:t>
        </w:r>
        <w:r>
          <w:rPr>
            <w:rStyle w:val="Style16"/>
            <w:rFonts w:cs="Times New Roman"/>
            <w:b/>
            <w:color w:val="000000"/>
            <w:sz w:val="24"/>
            <w:szCs w:val="24"/>
            <w:u w:val="single"/>
          </w:rPr>
          <w:t>38398@</w:t>
        </w:r>
        <w:r>
          <w:rPr>
            <w:rStyle w:val="Style16"/>
            <w:rFonts w:cs="Times New Roman"/>
            <w:b/>
            <w:color w:val="000000"/>
            <w:sz w:val="24"/>
            <w:szCs w:val="24"/>
            <w:u w:val="single"/>
            <w:lang w:val="en-US"/>
          </w:rPr>
          <w:t>yandex</w:t>
        </w:r>
        <w:r>
          <w:rPr>
            <w:rStyle w:val="Style16"/>
            <w:rFonts w:cs="Times New Roman"/>
            <w:b/>
            <w:color w:val="000000"/>
            <w:sz w:val="24"/>
            <w:szCs w:val="24"/>
            <w:u w:val="single"/>
          </w:rPr>
          <w:t>.</w:t>
        </w:r>
        <w:r>
          <w:rPr>
            <w:rStyle w:val="Style16"/>
            <w:rFonts w:cs="Times New Roman"/>
            <w:b/>
            <w:color w:val="000000"/>
            <w:sz w:val="24"/>
            <w:szCs w:val="24"/>
            <w:u w:val="single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с указанием следующих данных: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- тема письма: Запрос на осмотр объектов (лота);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- наименование юридического лица (для юридического лица);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- почтовый адрес или адрес электронной почты, контактный телефон;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- дата аукциона;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- № лота.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5. Место, сроки подачи (приема) Заявок, определения Участников и проведения Процедуры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1) Место подачи (приема) Заявок: электронная площадка www.rts-tender.ru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2) Дата и время начала подачи (приема) Заявок: </w:t>
      </w:r>
      <w:r>
        <w:rPr>
          <w:b/>
          <w:bCs/>
          <w:color w:val="000000"/>
          <w:sz w:val="24"/>
          <w:szCs w:val="24"/>
        </w:rPr>
        <w:t>27</w:t>
      </w:r>
      <w:r>
        <w:rPr>
          <w:b/>
          <w:color w:val="000000"/>
          <w:sz w:val="24"/>
          <w:szCs w:val="24"/>
        </w:rPr>
        <w:t>.05.2025</w:t>
      </w:r>
      <w:r>
        <w:rPr>
          <w:color w:val="000000"/>
          <w:sz w:val="24"/>
          <w:szCs w:val="24"/>
        </w:rPr>
        <w:t xml:space="preserve"> в 09 час. 00 мин.  по московскому времени.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Подача Заявок осуществляется круглосуточно.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3) Дата и время окончания подачи (приема) Заявок: </w:t>
      </w:r>
      <w:r>
        <w:rPr>
          <w:b/>
          <w:bCs/>
          <w:color w:val="000000"/>
          <w:sz w:val="24"/>
          <w:szCs w:val="24"/>
        </w:rPr>
        <w:t>23</w:t>
      </w:r>
      <w:r>
        <w:rPr>
          <w:b/>
          <w:color w:val="000000"/>
          <w:sz w:val="24"/>
          <w:szCs w:val="24"/>
        </w:rPr>
        <w:t>.06.2025</w:t>
      </w:r>
      <w:r>
        <w:rPr>
          <w:color w:val="000000"/>
          <w:sz w:val="24"/>
          <w:szCs w:val="24"/>
        </w:rPr>
        <w:t xml:space="preserve"> в 09 час. 00 мин. по московскому времени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4) Дата определения Участников: </w:t>
      </w:r>
      <w:r>
        <w:rPr>
          <w:b/>
          <w:color w:val="000000"/>
          <w:sz w:val="24"/>
          <w:szCs w:val="24"/>
        </w:rPr>
        <w:t>27.06.2025</w:t>
      </w:r>
      <w:r>
        <w:rPr>
          <w:color w:val="000000"/>
          <w:sz w:val="24"/>
          <w:szCs w:val="24"/>
        </w:rPr>
        <w:t xml:space="preserve"> в 09 час. 00 мин. по московскому времени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5) Дата и время проведения Процедуры: </w:t>
      </w:r>
      <w:r>
        <w:rPr>
          <w:b/>
          <w:bCs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>.06.2025</w:t>
      </w:r>
      <w:r>
        <w:rPr>
          <w:color w:val="000000"/>
          <w:sz w:val="24"/>
          <w:szCs w:val="24"/>
        </w:rPr>
        <w:t xml:space="preserve"> в 09 час. 00 мин. по московскому времени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6) Срок подведения итогов Процедуры: </w:t>
      </w:r>
      <w:r>
        <w:rPr>
          <w:b/>
          <w:bCs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>.06.2025</w:t>
      </w:r>
      <w:r>
        <w:rPr>
          <w:color w:val="000000"/>
          <w:sz w:val="24"/>
          <w:szCs w:val="24"/>
        </w:rPr>
        <w:t xml:space="preserve"> с 09 час. 00 мин. до последнего предложения Участников.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color w:val="000000"/>
          <w:sz w:val="24"/>
          <w:szCs w:val="24"/>
        </w:rPr>
        <w:t>6. Возможность отказаться от проведения Процедуры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1C1C1C"/>
          <w:sz w:val="24"/>
          <w:szCs w:val="24"/>
        </w:rPr>
        <w:t>Продавец вправе отказаться от проведения аукциона в любое время, но не позднее чем за три дня до наступления даты его проведения.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color w:val="1C1C1C"/>
          <w:sz w:val="24"/>
          <w:szCs w:val="24"/>
        </w:rPr>
        <w:t>7. Срок и порядок регистрации на электронной площадке</w:t>
      </w:r>
    </w:p>
    <w:p>
      <w:pPr>
        <w:pStyle w:val="Western"/>
        <w:spacing w:before="0" w:after="0"/>
        <w:ind w:left="0" w:right="0" w:firstLine="720"/>
        <w:jc w:val="both"/>
        <w:rPr/>
      </w:pPr>
      <w:r>
        <w:rPr>
          <w:i w:val="false"/>
          <w:color w:val="000000"/>
          <w:sz w:val="24"/>
          <w:szCs w:val="24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>
        <w:rPr>
          <w:i w:val="false"/>
          <w:color w:val="0000FF"/>
          <w:sz w:val="24"/>
          <w:szCs w:val="24"/>
        </w:rPr>
        <w:t xml:space="preserve">www.rts-tender.ru </w:t>
      </w:r>
      <w:r>
        <w:rPr>
          <w:i w:val="false"/>
          <w:color w:val="000000"/>
          <w:sz w:val="24"/>
          <w:szCs w:val="24"/>
        </w:rPr>
        <w:t xml:space="preserve">(далее - электронная площадка) и </w:t>
      </w:r>
      <w:hyperlink r:id="rId4">
        <w:r>
          <w:rPr>
            <w:rStyle w:val="Style16"/>
            <w:i w:val="false"/>
            <w:sz w:val="24"/>
            <w:szCs w:val="24"/>
          </w:rPr>
          <w:t>https://torgi.gov.ru</w:t>
        </w:r>
      </w:hyperlink>
      <w:r>
        <w:rPr>
          <w:i w:val="false"/>
          <w:sz w:val="24"/>
          <w:szCs w:val="24"/>
        </w:rPr>
        <w:t xml:space="preserve">. </w:t>
      </w:r>
      <w:r>
        <w:rPr>
          <w:i w:val="false"/>
          <w:color w:val="000000"/>
          <w:sz w:val="24"/>
          <w:szCs w:val="24"/>
        </w:rPr>
        <w:t>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Регистрация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Регистрация на электронной площадке осуществляется без взимания платы.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Регистрации на электронной площадке подлежат Претенденты, ранее                          не зарегистрированные на электронной площадке или регистрация которых на электронной площадке была ими прекращена.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8. Порядок ознакомления Претендентов с информацией, условиями договора купли-продажи объекта (лота) Процедуры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www.torgi.gov.ru, на сайте продавца –</w:t>
      </w:r>
      <w:hyperlink r:id="rId5">
        <w:r>
          <w:rPr>
            <w:rStyle w:val="Style16"/>
            <w:rFonts w:eastAsia="SimSun" w:cs="Mangal"/>
            <w:color w:val="000000"/>
            <w:sz w:val="24"/>
            <w:szCs w:val="24"/>
            <w:lang w:eastAsia="zh-CN" w:bidi="ru-RU"/>
          </w:rPr>
          <w:t>https://kovylkinskoe-sp.ru/</w:t>
        </w:r>
      </w:hyperlink>
      <w:r>
        <w:rPr>
          <w:color w:val="000000"/>
          <w:sz w:val="24"/>
          <w:szCs w:val="24"/>
        </w:rPr>
        <w:t>, на электронной площадке www.rts-tender.ru.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color w:val="000000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 о проведении продажи недвижимого имущества, запрос о разъяснении размещенной информации. Запрос разъяснений подлежит рассмотрению Продавцом, если он был получен электронной площадкой,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имущества, указанных в п. 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С условиями договора купли-продажи можно ознакомиться в проекте договора купли-продажи, являющегося Приложением 4, 5 к Информационному сообщению.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9. Требования к Участникам Процедуры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Участник Процедуры (далее - Участник) – Претендент, признанный Продавцом Участником.</w:t>
      </w:r>
    </w:p>
    <w:p>
      <w:pPr>
        <w:pStyle w:val="Style38"/>
        <w:keepNext/>
        <w:spacing w:lineRule="atLeast" w:line="200"/>
        <w:ind w:left="0" w:right="0" w:firstLine="720"/>
        <w:rPr/>
      </w:pPr>
      <w:r>
        <w:rPr>
          <w:sz w:val="24"/>
          <w:szCs w:val="24"/>
        </w:rPr>
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недвижимого имущества.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10. Ограничения участия в Процедуре отдельных категорий физических лиц и юридических лиц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Участниками Процедуры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11. Порядок подачи (приема) и отзыва Заявок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1) Заявка подается путем заполнения ее электронной формы, утвержденной Информационным сообщением (Приложение 1).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2) Одновременно к заявке Претенденты прилагают электронные образы документов: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а) Физические лица: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-копии всех листов документа, удостоверяющего личность;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б) Юридические лица: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-учредительные документы;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-документ, подтверждающий полномочия руководителя юридического лица   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-иные документы, требование к предоставлению которых может быть установлено федеральным законом.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документ), за исключением договора купли-продажи имущества, который заключается в простой письменной форме.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В случае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>
      <w:pPr>
        <w:pStyle w:val="Default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3) Одно лицо имеет право подать только одну Заявку.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4) Заявки могут быть поданы на электронную площадку с даты и времени начала подачи (приема) Заявок, </w:t>
      </w:r>
      <w:r>
        <w:rPr>
          <w:color w:val="000000"/>
          <w:sz w:val="24"/>
          <w:szCs w:val="24"/>
        </w:rPr>
        <w:t xml:space="preserve">указанных в п. 2 раздела 5 Информационного сообщения, </w:t>
      </w:r>
      <w:r>
        <w:rPr>
          <w:sz w:val="24"/>
          <w:szCs w:val="24"/>
        </w:rPr>
        <w:t xml:space="preserve">до времени и даты окончания подачи (приема) Заявок, </w:t>
      </w:r>
      <w:r>
        <w:rPr>
          <w:color w:val="000000"/>
          <w:sz w:val="24"/>
          <w:szCs w:val="24"/>
        </w:rPr>
        <w:t>указанных в п. 3 раздела 5 Информационного сообщения.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5) Заявки с прилагаемыми к ним документами, поданные с нарушением установленного срока, на электронной площадке не регистрируются.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6) Претендент вправе не позднее даты и времени окончания приема Заявок, </w:t>
      </w:r>
      <w:r>
        <w:rPr>
          <w:color w:val="000000"/>
          <w:sz w:val="24"/>
          <w:szCs w:val="24"/>
        </w:rPr>
        <w:t>указанных в п. 3 раздела 5 Информационного сообщения,</w:t>
      </w:r>
      <w:r>
        <w:rPr>
          <w:sz w:val="24"/>
          <w:szCs w:val="24"/>
        </w:rPr>
        <w:t xml:space="preserve"> отозвать Заявку путем направления уведомления об отзыве Заявки на электронную площадку.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12. Порядок внесения и возврата Задатка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1) Для участия в аукционе Претенденты перечисляют задаток в размере </w:t>
      </w:r>
      <w:r>
        <w:rPr>
          <w:color w:val="000000"/>
          <w:sz w:val="24"/>
          <w:szCs w:val="24"/>
        </w:rPr>
        <w:t>100</w:t>
      </w:r>
      <w:r>
        <w:rPr>
          <w:sz w:val="24"/>
          <w:szCs w:val="24"/>
        </w:rPr>
        <w:t xml:space="preserve"> процентов начальной цены продажи имущества.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3) Гарантийное обеспечение перечисляется Претендентом на следующие реквизиты Оператора: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Задаток вносится по следующим реквизитам Получатель: 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ООО «РТС-тендер»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ИНН: 7710357167, КПП: 773001001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Банк получателя: Филиал «Корпоративный» ПАО «СОВКОМБАНК» Расчетный счет: 40702810512030016362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Корреспондентский счет:30101810445250000360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БИК: 044525360</w:t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 xml:space="preserve">4) Претендент обеспечивает поступление Задатка в срок с </w:t>
      </w:r>
      <w:r>
        <w:rPr>
          <w:b/>
          <w:bCs/>
          <w:color w:val="000000"/>
          <w:sz w:val="24"/>
          <w:szCs w:val="24"/>
        </w:rPr>
        <w:t>27</w:t>
      </w:r>
      <w:r>
        <w:rPr>
          <w:b/>
          <w:color w:val="000000"/>
          <w:sz w:val="24"/>
          <w:szCs w:val="24"/>
        </w:rPr>
        <w:t>.05.25 по 23.06.2025.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3) </w:t>
      </w:r>
      <w:r>
        <w:rPr>
          <w:color w:val="000000"/>
          <w:sz w:val="24"/>
          <w:szCs w:val="24"/>
        </w:rPr>
        <w:t xml:space="preserve">Назначение платежа: Задаток для участия в аукционе сумма 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>113100 (сто тринадцать тысяч сто) рублей 00 копеек.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5) 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  и возвращены на счет плательщика.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6) В случаях отзыва Претендентом Заявки: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–</w:t>
      </w:r>
      <w:r>
        <w:rPr>
          <w:sz w:val="24"/>
          <w:szCs w:val="24"/>
        </w:rPr>
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календарных дней со дня поступления уведомления об отзыве Заявки;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–</w:t>
      </w:r>
      <w:r>
        <w:rPr>
          <w:sz w:val="24"/>
          <w:szCs w:val="24"/>
        </w:rPr>
        <w:t>позднее даты и времени окончания подачи (приема) Заявок задаток возвращается       в течение 5 (пяти) календарных дней с даты подведения итогов Процедуры.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7) Участникам, за исключением Победителя Процедуры, внесенный Задаток возвращается в течение 5 (пяти) календарных дней с даты подведения итогов Процедуры.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8) Претендентам, не допущенным к участию в Процедуре, внесенный Задаток возвращается в течение 5 (пяти) календарных дней со дня подписания протокола о признании претендентов участниками.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9) Задаток, внесенный лицом, впоследствии признанным Победителем Процедуры, засчитывается в счет оплаты приобретаемого объекта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 При этом заключение договора купли-продажи для Победителя Процедуры является обязательным. 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10) При уклонении или отказе Победителя Процедуры, от заключения в установленный срок договора купли-продажи объекта он утрачивает право на заключение указанного договора и Задаток ему не возвращается. Результаты Процедуры аннулируются.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11) 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12) 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13. Условия допуска к участию в Процедуре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Претендент не допускается к участию в Процедуре по следующим основаниям:</w:t>
      </w:r>
    </w:p>
    <w:p>
      <w:pPr>
        <w:pStyle w:val="ConsPlusNormal1"/>
        <w:keepNext/>
        <w:spacing w:lineRule="atLeast" w:line="200"/>
        <w:jc w:val="both"/>
        <w:rPr/>
      </w:pPr>
      <w:r>
        <w:rPr>
          <w:sz w:val="24"/>
          <w:szCs w:val="24"/>
        </w:rPr>
        <w:t>-Заявка представлена лицом, не уполномоченным Претендентом на осуществление таких действий;</w:t>
      </w:r>
    </w:p>
    <w:p>
      <w:pPr>
        <w:pStyle w:val="Style141"/>
        <w:widowControl/>
        <w:tabs>
          <w:tab w:val="left" w:pos="778" w:leader="none"/>
        </w:tabs>
        <w:spacing w:lineRule="atLeast" w:line="200"/>
        <w:ind w:left="0" w:right="0" w:firstLine="720"/>
        <w:rPr/>
      </w:pPr>
      <w:r>
        <w:rPr>
          <w:sz w:val="24"/>
          <w:szCs w:val="24"/>
        </w:rPr>
        <w:tab/>
        <w:t>-представленные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>
      <w:pPr>
        <w:pStyle w:val="Normal"/>
        <w:keepNext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-представлен не полный пакет документов, предусмотренный перечнем, установленным в Информационном сообщении о проведении продажи муниципального имущества,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    в Информационном сообщении о проведении продажи недвижимого имущества;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-не поступления в установленный срок Задатка.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14. Порядок определения участников аукциона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1) Организатор аукциона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2) Оператор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отказе о признании участниками с указанием оснований отказа.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15. Порядок проведения Процедуры аукциона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2) Электронный аукцион проводится на электронной площадке в день и время, указанные в Информационном сообщении.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3) Аукцион не проводится в случаях, если: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-на участие в торгах не подано или не принято ни одной Заявки, либо принята только одна Заявка;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-в результате рассмотрения Заявок на участие в торгах все Заявки отклонены;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-в результате рассмотрения заявок на участие в торгах участником признан только один Претендент;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-аукцион (лоты) отменены Организатором аукциона;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-этап подачи предложений о цене по аукциону (лоту) приостановлен.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4) С момента начала подачи предложений о цене в ходе электронного аукциона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5) Предложение о цене признается подписанное ЭП участника ценовое предложение.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6) При подаче предложений о цене Оператор обеспечивает конфиденциальность информации об участниках.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7) Аукцион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8)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9) Со времени проведения процедуры аукциона Оператором размещается: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-в открытой части электронной площадки — информация о начале проведения процедуры аукциона с указанием наименования имущества, начальной цене и текущего шага аукциона;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-в закрытой части электронной площадки — помимо информации, указанной в открытой части электронной площадки, также предложения о цене имущества и времени их поступления, величина повышения начальной цены (шаг аукциона), время оставшееся     до окончания приема предложений о цене имущества.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10) В течении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В случае если в течение указанного времени: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-поступило предложение о начальной цене имущества, то время для представления следующих предложений об увеличении на шаг аукциона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11) Программными средствами электронной площадки обеспечивается: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-исключение возможности подачи участником предложения о цене имущества, не соответствующего увеличению текущей цены на величину шага аукциона;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b/>
          <w:sz w:val="24"/>
          <w:szCs w:val="24"/>
        </w:rPr>
        <w:t>16. Подведение итогов Процедуры аукциона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1) Победителем аукциона признается участник, предложивший наиболее высокую цену имущества.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2)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3) Протокол об итогах аукциона удостоверяет право победителя на заключение договора купли-продажи имущества и подписывается Организатором аукциона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4) Процедура аукциона считается завершенной со времени подписания Организатором аукциона протокола об итогах аукциона.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5) Аукцион признается несостоявшимся в следующих случаях: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-не было подано ни одной заявки на участие либо ни один из Претендентов не признан участником;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-принято решение о признании только одного Претендента участником;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-ни один из участников не сделал предложения о начальной цене имущества.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о признании аукциона несостоявшимся оформляется протоколом.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6)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-наименование имущества и иные позволяющие его индивидуализировать сведения;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-цена сделки;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-фамилия, имя, отчество физического лица или наименование юридического лица — Победителя.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17.</w:t>
      </w:r>
      <w:r>
        <w:rPr>
          <w:color w:val="FF0000"/>
          <w:sz w:val="24"/>
          <w:szCs w:val="24"/>
        </w:rPr>
        <w:t> </w:t>
      </w:r>
      <w:r>
        <w:rPr>
          <w:sz w:val="24"/>
          <w:szCs w:val="24"/>
        </w:rPr>
        <w:t>Заключение договора купли-продажи по итогам аукциона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1) По результатам проведения электронного аукциона договор купли-продажи муниципального имущества заключается в электронной форме и подписывается усиленной квалифицированной электронной подписью сторон такого договора</w:t>
      </w:r>
      <w:r>
        <w:rPr>
          <w:sz w:val="24"/>
          <w:szCs w:val="24"/>
        </w:rPr>
        <w:t>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2) Договор купли-продажи заключается между Продавцом и Победителем аукциона в соответствии с формой договора купли-продажи, опубликованной в Приложении к настоящему Информационному сообщению, в течение 5 (пяти) рабочих дней с даты подведения итогов аукциона.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3) Оплата по договору купли-продажи производится единовременно не позднее 10 (десяти) календарных дней с момента подписания указанного договора, по безналичному расчету по следующим реквизитам Продавца: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z w:val="24"/>
          <w:szCs w:val="24"/>
        </w:rPr>
        <w:t xml:space="preserve">УФК по Ростовской области ( Администрация Ковылкинского сельского поселения, </w:t>
      </w:r>
      <w:r>
        <w:rPr>
          <w:bCs/>
          <w:color w:val="000000"/>
          <w:sz w:val="24"/>
          <w:szCs w:val="24"/>
        </w:rPr>
        <w:t>л/с 03583117140</w:t>
      </w:r>
      <w:r>
        <w:rPr>
          <w:color w:val="000000"/>
          <w:sz w:val="24"/>
          <w:szCs w:val="24"/>
        </w:rPr>
        <w:t xml:space="preserve">) ИНН </w:t>
      </w:r>
      <w:r>
        <w:rPr>
          <w:bCs/>
          <w:iCs/>
          <w:color w:val="000000"/>
          <w:sz w:val="24"/>
          <w:szCs w:val="24"/>
        </w:rPr>
        <w:t>6134009849</w:t>
      </w:r>
      <w:r>
        <w:rPr>
          <w:color w:val="000000"/>
          <w:sz w:val="24"/>
          <w:szCs w:val="24"/>
        </w:rPr>
        <w:t xml:space="preserve">, КПП </w:t>
      </w:r>
      <w:r>
        <w:rPr>
          <w:bCs/>
          <w:iCs/>
          <w:color w:val="000000"/>
          <w:sz w:val="24"/>
          <w:szCs w:val="24"/>
        </w:rPr>
        <w:t>613401001</w:t>
      </w:r>
      <w:r>
        <w:rPr>
          <w:color w:val="000000"/>
          <w:sz w:val="24"/>
          <w:szCs w:val="24"/>
        </w:rPr>
        <w:t xml:space="preserve">, код ОКТМО 60654444, </w:t>
      </w:r>
      <w:r>
        <w:rPr>
          <w:iCs/>
          <w:color w:val="000000"/>
          <w:sz w:val="24"/>
          <w:szCs w:val="24"/>
        </w:rPr>
        <w:t>Казначейский счет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03231643606544445800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iCs/>
          <w:color w:val="000000"/>
          <w:sz w:val="24"/>
          <w:szCs w:val="24"/>
        </w:rPr>
        <w:t>ЕКС 40102810845370000050.</w:t>
      </w:r>
      <w:r>
        <w:rPr>
          <w:bCs/>
          <w:color w:val="000000"/>
          <w:sz w:val="24"/>
          <w:szCs w:val="24"/>
        </w:rPr>
        <w:t xml:space="preserve"> Отделение Ростов-на-Дону банка России/УФК по Ростовской области г. Ростова-на-Дону, БИК </w:t>
      </w:r>
      <w:r>
        <w:rPr>
          <w:bCs/>
          <w:iCs/>
          <w:color w:val="000000"/>
          <w:sz w:val="24"/>
          <w:szCs w:val="24"/>
        </w:rPr>
        <w:t>016015102</w:t>
      </w:r>
      <w:r>
        <w:rPr>
          <w:color w:val="000000"/>
          <w:sz w:val="24"/>
          <w:szCs w:val="24"/>
        </w:rPr>
        <w:t xml:space="preserve">,                                                </w:t>
      </w:r>
      <w:r>
        <w:rPr>
          <w:color w:val="000000"/>
          <w:sz w:val="24"/>
          <w:szCs w:val="24"/>
          <w:lang w:val="ru-RU"/>
        </w:rPr>
        <w:t xml:space="preserve">КБК 951  114 06025 10  0000 430 </w:t>
      </w:r>
      <w:r>
        <w:rPr>
          <w:b/>
          <w:color w:val="000000"/>
          <w:sz w:val="24"/>
          <w:szCs w:val="24"/>
          <w:lang w:val="ru-RU"/>
        </w:rPr>
        <w:t xml:space="preserve">- </w:t>
      </w:r>
      <w:r>
        <w:rPr>
          <w:color w:val="000000"/>
          <w:sz w:val="24"/>
          <w:szCs w:val="24"/>
          <w:lang w:val="ru-RU"/>
        </w:rPr>
        <w:t xml:space="preserve">доходы </w:t>
      </w:r>
      <w:r>
        <w:rPr>
          <w:bCs/>
          <w:color w:val="000000"/>
          <w:sz w:val="22"/>
          <w:szCs w:val="24"/>
          <w:lang w:val="ru-RU"/>
        </w:rPr>
        <w:t xml:space="preserve">от продажи земельных участков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3"/>
          <w:szCs w:val="24"/>
          <w:u w:val="none"/>
          <w:em w:val="none"/>
          <w:lang w:val="ru-RU"/>
        </w:rPr>
        <w:t>н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3"/>
          <w:u w:val="none"/>
          <w:em w:val="none"/>
        </w:rPr>
        <w:t>аходящихся в собственности сельских  поселений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4"/>
          <w:u w:val="none"/>
          <w:em w:val="none"/>
          <w:lang w:val="ru-RU"/>
        </w:rPr>
        <w:t>.</w:t>
      </w:r>
      <w:r>
        <w:rPr>
          <w:b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Назначение платежа: оплата за земельный участок по договору купли-продажи от___№___</w:t>
      </w:r>
      <w:r>
        <w:rPr>
          <w:color w:val="000000"/>
          <w:sz w:val="24"/>
          <w:szCs w:val="24"/>
        </w:rPr>
        <w:t>__ 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4) Задаток, внесенный Победителем аукциона, засчитывается в счет оплаты приобретаемого имущества.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 xml:space="preserve">5) 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 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6) 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7) Расходы по государственной регистрации перехода права собственности возлагаются на покупателя.</w:t>
      </w:r>
    </w:p>
    <w:p>
      <w:pPr>
        <w:pStyle w:val="Style20"/>
        <w:spacing w:lineRule="atLeast" w:line="200"/>
        <w:ind w:left="0" w:right="0" w:firstLine="720"/>
        <w:jc w:val="both"/>
        <w:rPr/>
      </w:pPr>
      <w:r>
        <w:rPr>
          <w:b w:val="false"/>
          <w:sz w:val="24"/>
          <w:szCs w:val="24"/>
        </w:rPr>
        <w:t>8) Факт оплаты подтверждается выпиской со счета Продавца о поступлении денежных средств в размере и в порядке указанном в договоре купли-продажи.</w:t>
      </w:r>
    </w:p>
    <w:p>
      <w:pPr>
        <w:pStyle w:val="Style20"/>
        <w:spacing w:lineRule="atLeast" w:line="200"/>
        <w:ind w:left="0" w:right="0" w:firstLine="7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>Приложения:</w:t>
      </w:r>
    </w:p>
    <w:p>
      <w:pPr>
        <w:pStyle w:val="Standard1"/>
        <w:spacing w:lineRule="auto" w:line="192"/>
        <w:jc w:val="right"/>
        <w:rPr/>
      </w:pPr>
      <w:r>
        <w:rPr>
          <w:sz w:val="24"/>
          <w:szCs w:val="24"/>
        </w:rPr>
        <w:t>Приложение 1</w:t>
      </w:r>
    </w:p>
    <w:p>
      <w:pPr>
        <w:pStyle w:val="Standard1"/>
        <w:spacing w:lineRule="auto" w:line="19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spacing w:lineRule="auto" w:line="192"/>
        <w:jc w:val="center"/>
        <w:rPr/>
      </w:pPr>
      <w:r>
        <w:rPr>
          <w:b/>
          <w:sz w:val="24"/>
          <w:szCs w:val="24"/>
        </w:rPr>
        <w:t>ЗАЯВКА НА УЧАСТИЕ В АУКЦИОНЕ</w:t>
      </w:r>
    </w:p>
    <w:p>
      <w:pPr>
        <w:pStyle w:val="Standard1"/>
        <w:spacing w:lineRule="auto" w:line="192"/>
        <w:jc w:val="center"/>
        <w:rPr/>
      </w:pPr>
      <w:r>
        <w:rPr>
          <w:b/>
          <w:sz w:val="24"/>
          <w:szCs w:val="24"/>
        </w:rPr>
        <w:t>В ЭЛЕКТРОННОЙ ФОРМЕ</w:t>
      </w:r>
    </w:p>
    <w:p>
      <w:pPr>
        <w:pStyle w:val="Standard1"/>
        <w:spacing w:lineRule="auto" w:line="192"/>
        <w:jc w:val="center"/>
        <w:rPr/>
      </w:pPr>
      <w:r>
        <w:rPr>
          <w:b/>
          <w:sz w:val="24"/>
          <w:szCs w:val="24"/>
        </w:rPr>
        <w:t>по продаже Объекта(ов) (лота) аукциона</w:t>
      </w:r>
    </w:p>
    <w:p>
      <w:pPr>
        <w:pStyle w:val="Standard1"/>
        <w:spacing w:lineRule="auto" w:line="204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1"/>
        <w:spacing w:lineRule="auto" w:line="204"/>
        <w:rPr/>
      </w:pPr>
      <w:r>
        <w:rPr>
          <w:b/>
          <w:sz w:val="24"/>
          <w:szCs w:val="24"/>
        </w:rPr>
        <w:t>В Аукционную комиссию</w:t>
      </w:r>
    </w:p>
    <w:p>
      <w:pPr>
        <w:pStyle w:val="Standard1"/>
        <w:spacing w:lineRule="auto" w:line="204"/>
        <w:jc w:val="right"/>
        <w:rPr/>
      </w:pPr>
      <w:r>
        <w:rPr>
          <w:sz w:val="24"/>
          <w:szCs w:val="24"/>
        </w:rPr>
        <w:t>___________________________________________________________________________________</w:t>
      </w:r>
    </w:p>
    <w:p>
      <w:pPr>
        <w:pStyle w:val="Standard1"/>
        <w:spacing w:lineRule="auto" w:line="192"/>
        <w:jc w:val="center"/>
        <w:rPr/>
      </w:pPr>
      <w:bookmarkStart w:id="1" w:name="OLE_LINK5"/>
      <w:bookmarkStart w:id="2" w:name="OLE_LINK6"/>
      <w:r>
        <w:rPr>
          <w:sz w:val="24"/>
          <w:szCs w:val="24"/>
        </w:rPr>
        <w:t xml:space="preserve"> </w:t>
      </w:r>
      <w:bookmarkEnd w:id="1"/>
      <w:bookmarkEnd w:id="2"/>
      <w:r>
        <w:rPr>
          <w:sz w:val="24"/>
          <w:szCs w:val="24"/>
        </w:rPr>
        <w:t>(наименование Уполномоченного органа)</w:t>
      </w:r>
    </w:p>
    <w:p>
      <w:pPr>
        <w:pStyle w:val="Standard1"/>
        <w:spacing w:lineRule="auto" w:line="204"/>
        <w:rPr/>
      </w:pPr>
      <w:r>
        <w:rPr>
          <w:b/>
          <w:sz w:val="24"/>
          <w:szCs w:val="24"/>
        </w:rPr>
        <w:t>Претендент</w:t>
      </w:r>
    </w:p>
    <w:p>
      <w:pPr>
        <w:pStyle w:val="Standard1"/>
        <w:spacing w:lineRule="auto" w:line="204"/>
        <w:jc w:val="both"/>
        <w:rPr/>
      </w:pPr>
      <w:r>
        <w:rPr>
          <w:sz w:val="24"/>
          <w:szCs w:val="24"/>
        </w:rPr>
        <w:t>___________________________________________________________________________________</w:t>
      </w:r>
    </w:p>
    <w:p>
      <w:pPr>
        <w:pStyle w:val="Standard1"/>
        <w:spacing w:lineRule="auto" w:line="204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>
      <w:pPr>
        <w:pStyle w:val="Standard1"/>
        <w:spacing w:lineRule="auto" w:line="204"/>
        <w:jc w:val="both"/>
        <w:rPr/>
      </w:pPr>
      <w:r>
        <w:rPr>
          <w:b/>
          <w:sz w:val="24"/>
          <w:szCs w:val="24"/>
        </w:rPr>
        <w:t>действующий на основании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_________________________________________________________________</w:t>
      </w:r>
    </w:p>
    <w:p>
      <w:pPr>
        <w:pStyle w:val="Standard1"/>
        <w:jc w:val="center"/>
        <w:rPr/>
      </w:pPr>
      <w:r>
        <w:rPr>
          <w:sz w:val="24"/>
          <w:szCs w:val="24"/>
        </w:rPr>
        <w:t>(Устав, Положение и т.д.)</w:t>
      </w:r>
    </w:p>
    <w:tbl>
      <w:tblPr>
        <w:tblStyle w:val="Style_10"/>
        <w:tblW w:w="10107" w:type="dxa"/>
        <w:jc w:val="left"/>
        <w:tblInd w:w="-196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108" w:type="dxa"/>
        </w:tblCellMar>
      </w:tblPr>
      <w:tblGrid>
        <w:gridCol w:w="10107"/>
      </w:tblGrid>
      <w:tr>
        <w:trPr>
          <w:trHeight w:val="1124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rPr/>
            </w:pPr>
            <w:r>
              <w:rPr>
                <w:b/>
                <w:sz w:val="24"/>
                <w:szCs w:val="24"/>
              </w:rPr>
              <w:t>(заполняется физическим лицом, индивидуальным предпринимателем)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Паспортные данные: серия……………………№ …………………………., дата выдачи «…....» ………………..….г.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кем выдан…………………………………………………………………………………………………………………….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Адрес регистрации по месту пребывания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Контактный телефон ………………………………………………………………………………………………………..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ОГРНИП (для индивидуальных предпринимателей): № __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СНИЛС ……………………………………………………</w:t>
            </w:r>
          </w:p>
        </w:tc>
      </w:tr>
      <w:tr>
        <w:trPr>
          <w:trHeight w:val="1024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spacing w:lineRule="auto" w:line="192"/>
              <w:rPr/>
            </w:pPr>
            <w:r>
              <w:rPr>
                <w:b/>
                <w:sz w:val="24"/>
                <w:szCs w:val="24"/>
              </w:rPr>
              <w:t>(заполняется юридическим лицом)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Адрес местонахождения……………………………………………………………………………………………………..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Почтовый адрес…………………………………………………………………………………........................................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>
        <w:trPr>
          <w:trHeight w:val="1179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spacing w:lineRule="auto" w:line="192"/>
              <w:rPr/>
            </w:pPr>
            <w:r>
              <w:rPr>
                <w:b/>
                <w:sz w:val="24"/>
                <w:szCs w:val="24"/>
              </w:rPr>
              <w:t>Представитель Претендента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jc w:val="center"/>
              <w:rPr/>
            </w:pPr>
            <w:r>
              <w:rPr>
                <w:b/>
                <w:sz w:val="24"/>
                <w:szCs w:val="24"/>
              </w:rPr>
              <w:t>(Ф.И.О.)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Действует на основании доверенности от «…..»…………20..….г., № ………………………………………………….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кем выдан..……………………………………………….……………………………..……………………………………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Адрес регистрации по месту пребывания …………………………………………………………………………………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Контактный телефон……..………………………………………………………………………………………………….</w:t>
            </w:r>
          </w:p>
          <w:p>
            <w:pPr>
              <w:pStyle w:val="Standard1"/>
              <w:spacing w:lineRule="auto" w:line="192"/>
              <w:rPr/>
            </w:pPr>
            <w:r>
              <w:rPr>
                <w:sz w:val="24"/>
                <w:szCs w:val="24"/>
              </w:rPr>
              <w:t>СНИЛС…………………………………………………</w:t>
            </w:r>
          </w:p>
        </w:tc>
      </w:tr>
    </w:tbl>
    <w:p>
      <w:pPr>
        <w:pStyle w:val="Standard1"/>
        <w:widowControl w:val="false"/>
        <w:spacing w:before="1" w:after="1"/>
        <w:ind w:left="1" w:right="1" w:hanging="1"/>
        <w:jc w:val="both"/>
        <w:rPr/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принял решение об участии в аукционе в электронной форме по продаже Объекта(ов) (лота) аукциона:</w:t>
      </w:r>
    </w:p>
    <w:p>
      <w:pPr>
        <w:pStyle w:val="Standard1"/>
        <w:widowControl w:val="false"/>
        <w:spacing w:before="1" w:after="1"/>
        <w:ind w:left="1" w:right="1" w:hanging="1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10107" w:type="dxa"/>
        <w:jc w:val="left"/>
        <w:tblInd w:w="-196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108" w:type="dxa"/>
        </w:tblCellMar>
      </w:tblPr>
      <w:tblGrid>
        <w:gridCol w:w="10107"/>
      </w:tblGrid>
      <w:tr>
        <w:trPr>
          <w:trHeight w:val="397" w:hRule="atLeast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jc w:val="both"/>
              <w:rPr/>
            </w:pPr>
            <w:r>
              <w:rPr>
                <w:sz w:val="24"/>
                <w:szCs w:val="24"/>
              </w:rPr>
              <w:t>Дата аукциона:………..……………. № Лота………………,</w:t>
            </w:r>
          </w:p>
          <w:p>
            <w:pPr>
              <w:pStyle w:val="Standard1"/>
              <w:jc w:val="both"/>
              <w:rPr/>
            </w:pPr>
            <w:r>
              <w:rPr>
                <w:sz w:val="24"/>
                <w:szCs w:val="24"/>
              </w:rPr>
              <w:t>Наименование Объекта(ов) (лота) аукциона ………………………………………………………...……...……...</w:t>
            </w:r>
          </w:p>
          <w:p>
            <w:pPr>
              <w:pStyle w:val="Standard1"/>
              <w:jc w:val="both"/>
              <w:rPr/>
            </w:pPr>
            <w:r>
              <w:rPr>
                <w:sz w:val="24"/>
                <w:szCs w:val="24"/>
              </w:rPr>
              <w:t>Адрес (местонахождение) Объекта(ов) (лота) аукциона ………………………………………………………...…</w:t>
            </w:r>
          </w:p>
        </w:tc>
      </w:tr>
    </w:tbl>
    <w:p>
      <w:pPr>
        <w:pStyle w:val="Standard1"/>
        <w:widowControl w:val="false"/>
        <w:spacing w:before="1" w:after="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widowControl w:val="false"/>
        <w:spacing w:before="1" w:after="1"/>
        <w:jc w:val="both"/>
        <w:rPr/>
      </w:pPr>
      <w:r>
        <w:rPr>
          <w:b/>
          <w:sz w:val="24"/>
          <w:szCs w:val="24"/>
        </w:rPr>
        <w:t xml:space="preserve">и обязуется обеспечить поступление задатка в размере_____________________________ руб. </w:t>
      </w:r>
      <w:r>
        <w:rPr>
          <w:sz w:val="24"/>
          <w:szCs w:val="24"/>
        </w:rPr>
        <w:t>__________________________________________________(сумма прописью),</w:t>
      </w:r>
    </w:p>
    <w:p>
      <w:pPr>
        <w:pStyle w:val="Standard1"/>
        <w:widowControl w:val="false"/>
        <w:spacing w:before="1" w:after="1"/>
        <w:jc w:val="both"/>
        <w:rPr/>
      </w:pPr>
      <w:r>
        <w:rPr>
          <w:b/>
          <w:sz w:val="24"/>
          <w:szCs w:val="24"/>
        </w:rPr>
        <w:t>в сроки и в порядке установленные в Информационном сообщении на указанный лот.</w:t>
      </w:r>
    </w:p>
    <w:p>
      <w:pPr>
        <w:pStyle w:val="Standard1"/>
        <w:widowControl w:val="false"/>
        <w:spacing w:before="1" w:after="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1"/>
        <w:numPr>
          <w:ilvl w:val="0"/>
          <w:numId w:val="2"/>
        </w:numPr>
        <w:jc w:val="both"/>
        <w:rPr/>
      </w:pPr>
      <w:r>
        <w:rPr>
          <w:sz w:val="24"/>
          <w:szCs w:val="24"/>
        </w:rPr>
        <w:t>Претендент обязуется:</w:t>
      </w:r>
    </w:p>
    <w:p>
      <w:pPr>
        <w:pStyle w:val="Standard1"/>
        <w:ind w:left="360" w:right="0" w:hanging="36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1.1. Соблюдать условия и порядок проведения аукциона, содержащиеся в Информационном сообщении.</w:t>
      </w:r>
    </w:p>
    <w:p>
      <w:pPr>
        <w:pStyle w:val="Standard1"/>
        <w:ind w:left="360" w:right="0" w:hanging="360"/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1.2. 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</w:r>
    </w:p>
    <w:p>
      <w:pPr>
        <w:pStyle w:val="Standard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Задаток Победителя аукциона засчитывается в счет оплаты приобретаемого Объекта(ов) (лота) аукциона.</w:t>
      </w:r>
    </w:p>
    <w:p>
      <w:pPr>
        <w:pStyle w:val="Standard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Претенденту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понятны все требования и положения Информационного сообщения. Претенденту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известно фактическое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состояние и технические характеристики Объекта(ов) (лота) (п.1.)</w:t>
      </w:r>
      <w:r>
        <w:rPr>
          <w:b/>
          <w:sz w:val="24"/>
          <w:szCs w:val="24"/>
        </w:rPr>
        <w:t xml:space="preserve"> и он не имеет претензий к ним.</w:t>
      </w:r>
    </w:p>
    <w:p>
      <w:pPr>
        <w:pStyle w:val="Standard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>
      <w:pPr>
        <w:pStyle w:val="Standard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Ответственность за достоверность представленных документов и информации несет Претендент.</w:t>
      </w:r>
    </w:p>
    <w:p>
      <w:pPr>
        <w:pStyle w:val="Standard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Объекта(ов) (лота) аукциона в результате осмотра, который осуществляется по адресу местонахождения Объекта(ов) (лота) аукциона.</w:t>
      </w:r>
    </w:p>
    <w:p>
      <w:pPr>
        <w:pStyle w:val="Standard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Объекта(ов) (лота) аукциона, а также приостановлением организации и проведения аукциона.</w:t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ind w:left="360" w:right="0" w:hanging="0"/>
        <w:jc w:val="both"/>
        <w:rPr/>
      </w:pPr>
      <w:r>
        <w:rPr>
          <w:sz w:val="24"/>
          <w:szCs w:val="24"/>
        </w:rPr>
        <w:t>___________________________________________________</w:t>
      </w:r>
    </w:p>
    <w:p>
      <w:pPr>
        <w:pStyle w:val="Standard1"/>
        <w:ind w:left="360" w:right="0" w:hanging="0"/>
        <w:jc w:val="both"/>
        <w:rPr/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Заполняется при подаче Заявки юридическим лицом</w:t>
      </w:r>
    </w:p>
    <w:p>
      <w:pPr>
        <w:pStyle w:val="Standard1"/>
        <w:ind w:left="360" w:right="0" w:hanging="0"/>
        <w:jc w:val="both"/>
        <w:rPr/>
      </w:pP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>Заполняется при подаче Заявки лицом, действующим по доверенности</w:t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1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>
      <w:pPr>
        <w:pStyle w:val="ListParagraph1"/>
        <w:ind w:left="36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/>
      </w:pPr>
      <w:r>
        <w:rPr>
          <w:b/>
          <w:sz w:val="24"/>
          <w:szCs w:val="24"/>
        </w:rPr>
        <w:t>Платежные реквизиты Претендента:</w:t>
      </w:r>
    </w:p>
    <w:p>
      <w:pPr>
        <w:pStyle w:val="Standard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1"/>
        <w:jc w:val="both"/>
        <w:rPr/>
      </w:pPr>
      <w:r>
        <w:rPr>
          <w:sz w:val="24"/>
          <w:szCs w:val="24"/>
        </w:rPr>
        <w:t>___________________________________________________________________________________________________________________</w:t>
      </w:r>
    </w:p>
    <w:p>
      <w:pPr>
        <w:pStyle w:val="Standard1"/>
        <w:jc w:val="center"/>
        <w:rPr/>
      </w:pPr>
      <w:r>
        <w:rPr>
          <w:sz w:val="24"/>
          <w:szCs w:val="24"/>
        </w:rPr>
        <w:t>(Ф.И.О. для физического лица или ИП, наименование для юридического лица)</w:t>
      </w:r>
    </w:p>
    <w:tbl>
      <w:tblPr>
        <w:tblStyle w:val="Style_10"/>
        <w:tblW w:w="10108" w:type="dxa"/>
        <w:jc w:val="left"/>
        <w:tblInd w:w="-196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108" w:type="dxa"/>
        </w:tblCellMar>
      </w:tblPr>
      <w:tblGrid>
        <w:gridCol w:w="2022"/>
        <w:gridCol w:w="688"/>
        <w:gridCol w:w="689"/>
        <w:gridCol w:w="688"/>
        <w:gridCol w:w="689"/>
        <w:gridCol w:w="688"/>
        <w:gridCol w:w="688"/>
        <w:gridCol w:w="689"/>
        <w:gridCol w:w="688"/>
        <w:gridCol w:w="688"/>
        <w:gridCol w:w="689"/>
        <w:gridCol w:w="688"/>
        <w:gridCol w:w="513"/>
      </w:tblGrid>
      <w:tr>
        <w:trPr>
          <w:trHeight w:val="187" w:hRule="atLeast"/>
        </w:trPr>
        <w:tc>
          <w:tcPr>
            <w:tcW w:w="20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rPr/>
            </w:pPr>
            <w:r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2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rPr/>
            </w:pPr>
            <w:r>
              <w:rPr>
                <w:sz w:val="24"/>
                <w:szCs w:val="24"/>
              </w:rPr>
              <w:t>КПП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/>
      </w:pPr>
      <w:r>
        <w:rPr>
          <w:sz w:val="24"/>
          <w:szCs w:val="24"/>
        </w:rPr>
        <w:t>____________________________________________________________________________________________________________________</w:t>
      </w:r>
    </w:p>
    <w:p>
      <w:pPr>
        <w:pStyle w:val="Standard1"/>
        <w:jc w:val="center"/>
        <w:rPr/>
      </w:pPr>
      <w:r>
        <w:rPr>
          <w:sz w:val="24"/>
          <w:szCs w:val="24"/>
        </w:rPr>
        <w:t>(Наименование Банка в котором у Претендента открыт счет; название города, где находится банк)</w:t>
      </w:r>
    </w:p>
    <w:p>
      <w:pPr>
        <w:pStyle w:val="Standard1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10581" w:type="dxa"/>
        <w:jc w:val="left"/>
        <w:tblInd w:w="-196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108" w:type="dxa"/>
        </w:tblCellMar>
      </w:tblPr>
      <w:tblGrid>
        <w:gridCol w:w="503"/>
        <w:gridCol w:w="504"/>
        <w:gridCol w:w="226"/>
        <w:gridCol w:w="264"/>
        <w:gridCol w:w="174"/>
        <w:gridCol w:w="343"/>
        <w:gridCol w:w="104"/>
        <w:gridCol w:w="400"/>
        <w:gridCol w:w="40"/>
        <w:gridCol w:w="440"/>
        <w:gridCol w:w="11"/>
        <w:gridCol w:w="429"/>
        <w:gridCol w:w="79"/>
        <w:gridCol w:w="361"/>
        <w:gridCol w:w="152"/>
        <w:gridCol w:w="296"/>
        <w:gridCol w:w="199"/>
        <w:gridCol w:w="241"/>
        <w:gridCol w:w="263"/>
        <w:gridCol w:w="20"/>
        <w:gridCol w:w="493"/>
        <w:gridCol w:w="181"/>
        <w:gridCol w:w="313"/>
        <w:gridCol w:w="513"/>
        <w:gridCol w:w="507"/>
        <w:gridCol w:w="502"/>
        <w:gridCol w:w="506"/>
        <w:gridCol w:w="504"/>
        <w:gridCol w:w="502"/>
        <w:gridCol w:w="501"/>
        <w:gridCol w:w="503"/>
        <w:gridCol w:w="504"/>
      </w:tblGrid>
      <w:tr>
        <w:trPr>
          <w:trHeight w:val="224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tabs>
                <w:tab w:val="left" w:pos="900" w:leader="none"/>
              </w:tabs>
              <w:jc w:val="both"/>
              <w:rPr/>
            </w:pPr>
            <w:r>
              <w:rPr>
                <w:sz w:val="24"/>
                <w:szCs w:val="24"/>
              </w:rPr>
              <w:t>р/с или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9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tabs>
                <w:tab w:val="left" w:pos="900" w:leader="none"/>
              </w:tabs>
              <w:jc w:val="both"/>
              <w:rPr/>
            </w:pPr>
            <w:r>
              <w:rPr>
                <w:sz w:val="24"/>
                <w:szCs w:val="24"/>
              </w:rPr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1233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jc w:val="both"/>
              <w:rPr/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auto" w:val="clear"/>
            <w:tcMar>
              <w:left w:w="-7" w:type="dxa"/>
            </w:tcMar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55" w:type="dxa"/>
            <w:gridSpan w:val="10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jc w:val="both"/>
              <w:rPr/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49" w:type="dxa"/>
            <w:gridSpan w:val="1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jc w:val="both"/>
              <w:rPr/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  <w:vAlign w:val="center"/>
          </w:tcPr>
          <w:p>
            <w:pPr>
              <w:pStyle w:val="Standar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49" w:type="dxa"/>
            <w:gridSpan w:val="1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FFFFFF" w:val="clear"/>
            <w:tcMar>
              <w:left w:w="-7" w:type="dxa"/>
            </w:tcMar>
          </w:tcPr>
          <w:p>
            <w:pPr>
              <w:pStyle w:val="Standar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1"/>
        <w:jc w:val="both"/>
        <w:rPr/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>
      <w:pPr>
        <w:pStyle w:val="Standard1"/>
        <w:jc w:val="both"/>
        <w:rPr/>
      </w:pP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КПП в отношении юридических лиц и индивидуальных предпринимателей.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/>
        <w:jc w:val="both"/>
        <w:rPr/>
      </w:pPr>
      <w:r>
        <w:rPr>
          <w:sz w:val="24"/>
          <w:szCs w:val="24"/>
        </w:rPr>
        <w:t>Форма описи документов, прилагаемых к заявке на участие в аукционе.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Опись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документов, прилагаемых к заявке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на участие в аукционе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480"/>
        <w:ind w:left="360" w:right="0" w:hanging="0"/>
        <w:rPr/>
      </w:pPr>
      <w:r>
        <w:rPr>
          <w:sz w:val="24"/>
          <w:szCs w:val="24"/>
        </w:rPr>
        <w:t>1. _______________________________________________________________________</w:t>
      </w:r>
    </w:p>
    <w:p>
      <w:pPr>
        <w:pStyle w:val="Normal"/>
        <w:spacing w:lineRule="auto" w:line="480"/>
        <w:ind w:left="360" w:right="0" w:hanging="0"/>
        <w:rPr/>
      </w:pPr>
      <w:r>
        <w:rPr>
          <w:sz w:val="24"/>
          <w:szCs w:val="24"/>
        </w:rPr>
        <w:t>2. _______________________________________________________________________</w:t>
      </w:r>
    </w:p>
    <w:p>
      <w:pPr>
        <w:pStyle w:val="Normal"/>
        <w:spacing w:lineRule="auto" w:line="480"/>
        <w:ind w:left="360" w:right="0" w:hanging="0"/>
        <w:rPr/>
      </w:pPr>
      <w:r>
        <w:rPr>
          <w:sz w:val="24"/>
          <w:szCs w:val="24"/>
        </w:rPr>
        <w:t>3. _______________________________________________________________________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/>
      </w:pPr>
      <w:r>
        <w:rPr>
          <w:sz w:val="24"/>
          <w:szCs w:val="24"/>
        </w:rPr>
        <w:t>Подпись Претендента (его полномочного представителя)</w:t>
      </w:r>
    </w:p>
    <w:p>
      <w:pPr>
        <w:pStyle w:val="Normal"/>
        <w:ind w:left="360" w:right="0" w:hanging="0"/>
        <w:rPr/>
      </w:pPr>
      <w:r>
        <w:rPr>
          <w:sz w:val="24"/>
          <w:szCs w:val="24"/>
        </w:rPr>
        <w:t>_______________________________________________________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/>
      </w:pPr>
      <w:r>
        <w:rPr>
          <w:sz w:val="24"/>
          <w:szCs w:val="24"/>
        </w:rPr>
        <w:t>М.п.                        «__»____________20__г.</w:t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ind w:left="360" w:right="0" w:hanging="0"/>
        <w:rPr/>
      </w:pPr>
      <w:r>
        <w:rPr>
          <w:sz w:val="24"/>
          <w:szCs w:val="24"/>
        </w:rPr>
        <w:t>Подпись уполномоченного лица Продавца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6"/>
        </w:numPr>
        <w:suppressAutoHyphens w:val="false"/>
        <w:spacing w:lineRule="auto" w:line="240"/>
        <w:jc w:val="both"/>
        <w:textAlignment w:val="auto"/>
        <w:rPr/>
      </w:pPr>
      <w:r>
        <w:rPr>
          <w:sz w:val="24"/>
          <w:szCs w:val="24"/>
        </w:rPr>
        <w:t>Проект договора о задатке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Договор о задатке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«___»___________ 20__</w:t>
        <w:tab/>
        <w:tab/>
        <w:t xml:space="preserve"> </w:t>
        <w:tab/>
        <w:tab/>
        <w:tab/>
        <w:tab/>
        <w:tab/>
        <w:t xml:space="preserve">                                                   х.Ковылкин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Муниципальное образование "Ковылкинское сельское поселение" в лице   ______________________, именуемое в дальнейшем «Продавец», действующего на основании __________________________, с одной стороны, и ______________________, именуемый (-ая) в дальнейшем Вкладчик, в лице ______________________, с другой стороны, заключили настоящий Договор о нижеследующем.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Статья 1. Предмет Договора.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>1.1. Вкладчик для участия в Аукционе по продаже имущества: _________________________________, находящегося в собственности муниципального образования "Ковылкинское сельское поселение" на балансе ____________________________ (далее – Аукцион), перечисляет денежные средства. Гарантийное обеспечение перечисляется Претендентом на следующие реквизиты Оператора: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ab/>
        <w:t xml:space="preserve">Задаток вносится по следующим реквизитам Получатель: </w:t>
      </w:r>
    </w:p>
    <w:p>
      <w:pPr>
        <w:pStyle w:val="Normal"/>
        <w:spacing w:lineRule="atLeast" w:line="200"/>
        <w:ind w:left="0" w:right="0" w:firstLine="720"/>
        <w:jc w:val="both"/>
        <w:rPr/>
      </w:pPr>
      <w:r>
        <w:rPr>
          <w:sz w:val="24"/>
          <w:szCs w:val="24"/>
        </w:rPr>
        <w:t>ООО «РТС-тендер»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ab/>
        <w:t>ИНН: 7710357167, КПП: 773001001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ab/>
        <w:t>Банк получателя: МОСКОВСКИЙ ФИЛИАЛ ПАО «СОВКОМБАНК» Г. МОСКВА</w:t>
        <w:tab/>
        <w:t>Расчетный счет: 40702810600005001156</w:t>
      </w:r>
    </w:p>
    <w:p>
      <w:pPr>
        <w:pStyle w:val="Normal"/>
        <w:spacing w:lineRule="atLeast" w:line="200"/>
        <w:jc w:val="both"/>
        <w:rPr/>
      </w:pPr>
      <w:r>
        <w:rPr>
          <w:sz w:val="24"/>
          <w:szCs w:val="24"/>
        </w:rPr>
        <w:tab/>
        <w:t>Корреспондентский счет:30101810945250000967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БИК: 044525967.</w:t>
      </w:r>
    </w:p>
    <w:p>
      <w:pPr>
        <w:pStyle w:val="Normal"/>
        <w:jc w:val="center"/>
        <w:rPr/>
      </w:pPr>
      <w:r>
        <w:rPr>
          <w:sz w:val="24"/>
          <w:szCs w:val="24"/>
        </w:rPr>
        <w:t>Статья 2. Передача денежных средств.</w:t>
      </w:r>
    </w:p>
    <w:p>
      <w:pPr>
        <w:pStyle w:val="Normal"/>
        <w:jc w:val="both"/>
        <w:rPr/>
      </w:pPr>
      <w:r>
        <w:rPr>
          <w:sz w:val="24"/>
          <w:szCs w:val="24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оплате имущества в случае признания его Победителем Аукциона.</w:t>
      </w:r>
    </w:p>
    <w:p>
      <w:pPr>
        <w:pStyle w:val="Normal"/>
        <w:jc w:val="both"/>
        <w:rPr/>
      </w:pPr>
      <w:r>
        <w:rPr>
          <w:sz w:val="24"/>
          <w:szCs w:val="24"/>
        </w:rPr>
        <w:t>2.2. Денежные средства, указанные в статье 1 настоящего Договора, должны быть внесены Вкладчиком на счет Администрации Ковылкинского сельского поселения, указанный в статье 1 настоящего Договора, не позднее _______ 20__ года.</w:t>
      </w:r>
    </w:p>
    <w:p>
      <w:pPr>
        <w:pStyle w:val="Normal"/>
        <w:jc w:val="both"/>
        <w:rPr/>
      </w:pPr>
      <w:r>
        <w:rPr>
          <w:sz w:val="24"/>
          <w:szCs w:val="24"/>
        </w:rPr>
        <w:t>Вкладчик соглашается, что в случае непоступления суммы задатка на счет Оператора, обязательства Вкладчика по внесению задатка считаются неисполненными.</w:t>
      </w:r>
    </w:p>
    <w:p>
      <w:pPr>
        <w:pStyle w:val="Normal"/>
        <w:jc w:val="both"/>
        <w:rPr/>
      </w:pPr>
      <w:r>
        <w:rPr>
          <w:sz w:val="24"/>
          <w:szCs w:val="24"/>
        </w:rPr>
        <w:t>2.3. Вкладчик не вправе распоряжаться денежными средствами, поступившими на счет Оператора, то есть не вправе требовать от Продавца их перечисления на любой иной банковский счет.</w:t>
      </w:r>
    </w:p>
    <w:p>
      <w:pPr>
        <w:pStyle w:val="Normal"/>
        <w:jc w:val="both"/>
        <w:rPr/>
      </w:pPr>
      <w:r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Статья 3. Возврат денежных средств.</w:t>
      </w:r>
    </w:p>
    <w:p>
      <w:pPr>
        <w:pStyle w:val="Normal"/>
        <w:jc w:val="both"/>
        <w:rPr/>
      </w:pPr>
      <w:r>
        <w:rPr>
          <w:sz w:val="24"/>
          <w:szCs w:val="24"/>
        </w:rPr>
        <w:t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>
      <w:pPr>
        <w:pStyle w:val="Normal"/>
        <w:jc w:val="both"/>
        <w:rPr/>
      </w:pPr>
      <w:r>
        <w:rPr>
          <w:sz w:val="24"/>
          <w:szCs w:val="24"/>
        </w:rPr>
        <w:t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>
      <w:pPr>
        <w:pStyle w:val="Normal"/>
        <w:jc w:val="both"/>
        <w:rPr/>
      </w:pPr>
      <w:r>
        <w:rPr>
          <w:sz w:val="24"/>
          <w:szCs w:val="24"/>
        </w:rPr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заявки.</w:t>
      </w:r>
    </w:p>
    <w:p>
      <w:pPr>
        <w:pStyle w:val="Normal"/>
        <w:jc w:val="both"/>
        <w:rPr/>
      </w:pPr>
      <w:r>
        <w:rPr>
          <w:sz w:val="24"/>
          <w:szCs w:val="24"/>
        </w:rPr>
        <w:t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десяти календарных дней с момента утверждения Протокола о результатах Аукциона, сумма задатка ему не возвращается.</w:t>
      </w:r>
    </w:p>
    <w:p>
      <w:pPr>
        <w:pStyle w:val="Normal"/>
        <w:jc w:val="both"/>
        <w:rPr/>
      </w:pPr>
      <w:r>
        <w:rPr>
          <w:sz w:val="24"/>
          <w:szCs w:val="24"/>
        </w:rPr>
        <w:t>3.5. Вкладчику, признанному победителем Аукциона и заключившему</w:t>
      </w:r>
      <w:r>
        <w:rPr>
          <w:color w:val="FF7F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Администрацией Ковылкинского сельского поселения договор</w:t>
      </w:r>
      <w:r>
        <w:rPr>
          <w:color w:val="FF7F00"/>
          <w:sz w:val="24"/>
          <w:szCs w:val="24"/>
        </w:rPr>
        <w:t xml:space="preserve"> </w:t>
      </w:r>
      <w:r>
        <w:rPr>
          <w:sz w:val="24"/>
          <w:szCs w:val="24"/>
        </w:rPr>
        <w:t>купли-продажи муниципального имущества,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>
      <w:pPr>
        <w:pStyle w:val="Normal"/>
        <w:jc w:val="both"/>
        <w:rPr/>
      </w:pPr>
      <w:r>
        <w:rPr>
          <w:sz w:val="24"/>
          <w:szCs w:val="24"/>
        </w:rPr>
        <w:t>3.6. В случае признания Аукциона несостоявшимся Оператор перечисляет Вкладчику сумму задатка в течение пяти дней с момента утверждения Протокола о результатах Аукциона.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Статья 4. Срок действия Договора.</w:t>
      </w:r>
    </w:p>
    <w:p>
      <w:pPr>
        <w:pStyle w:val="Normal"/>
        <w:jc w:val="both"/>
        <w:rPr/>
      </w:pPr>
      <w:r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>
      <w:pPr>
        <w:pStyle w:val="Normal"/>
        <w:jc w:val="both"/>
        <w:rPr/>
      </w:pPr>
      <w:r>
        <w:rPr>
          <w:sz w:val="24"/>
          <w:szCs w:val="24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>
      <w:pPr>
        <w:pStyle w:val="Normal"/>
        <w:jc w:val="both"/>
        <w:rPr/>
      </w:pPr>
      <w:r>
        <w:rPr>
          <w:sz w:val="24"/>
          <w:szCs w:val="24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>
      <w:pPr>
        <w:pStyle w:val="Normal"/>
        <w:jc w:val="both"/>
        <w:rPr/>
      </w:pPr>
      <w:r>
        <w:rPr>
          <w:sz w:val="24"/>
          <w:szCs w:val="24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>Статья 5. Адреса и банковские реквизиты сторон.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94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682"/>
      </w:tblGrid>
      <w:tr>
        <w:trPr>
          <w:trHeight w:val="5220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Продавец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Т.В.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Ростовская область, Тацинский район, </w:t>
            </w:r>
          </w:p>
          <w:p>
            <w:pPr>
              <w:pStyle w:val="Normal"/>
              <w:rPr/>
            </w:pPr>
            <w:r>
              <w:rPr>
                <w:bCs/>
                <w:sz w:val="24"/>
                <w:szCs w:val="24"/>
              </w:rPr>
              <w:t>х.Ковылкин, ул.Советская, 26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получатель платежа –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УФК по Ростовской области (Администрация Ковылкинского сельского поселения, л/с 03583117140) ИНН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6134009849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КПП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613401001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                     код ОКТМО 60654444,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Казначейский счет 03231643606544445800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ЕКС 40102810845370000050.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Отделение Ростов-на-Дону банка России/УФК по Ростовской области г. Ростова-на-Дону,       БИК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016015102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  ______________                   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(подпись)                             Ф.И.О.                                            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Вкладчик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_________________  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(подпись)                            Ф.И.О.              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</w:tbl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720"/>
        <w:jc w:val="both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3"/>
          <w:u w:val="none"/>
          <w:em w:val="none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3"/>
          <w:u w:val="none"/>
          <w:em w:val="none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 xml:space="preserve">Проект договора купли-продажи  земельного участка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31"/>
        <w:spacing w:lineRule="atLeast" w:line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Договор №___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купли-продажи муниципального имущества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«___» _______ 2025 г.            </w:t>
        <w:tab/>
        <w:t xml:space="preserve">                                                         х.Ковылкин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</w:r>
      <w:bookmarkStart w:id="3" w:name="_Hlk489969586"/>
      <w:r>
        <w:rPr>
          <w:sz w:val="24"/>
          <w:szCs w:val="24"/>
        </w:rPr>
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Т.В, именуемое в дальнейшем «Продавец», действующего на основании </w:t>
      </w:r>
      <w:r>
        <w:rPr>
          <w:bCs/>
          <w:sz w:val="24"/>
          <w:szCs w:val="24"/>
          <w:lang w:eastAsia="ru-RU"/>
        </w:rPr>
        <w:t>Устава муниципального образования «Ковылкинское сельское поселение»</w:t>
      </w:r>
      <w:r>
        <w:rPr>
          <w:sz w:val="24"/>
          <w:szCs w:val="24"/>
        </w:rPr>
        <w:t xml:space="preserve">, </w:t>
      </w:r>
      <w:bookmarkEnd w:id="3"/>
      <w:r>
        <w:rPr>
          <w:sz w:val="24"/>
          <w:szCs w:val="24"/>
        </w:rPr>
        <w:t>в соответствии с Федеральным законом от 21.12.2001 г.  № 178 – ФЗ «О приватизации государственного и муниципального имущества», с одной стороны и гражданин Российской Федерации _________пол _____. дата рождения ______ г., место рождения: _______, паспорт гражданина Российской Федерации ____, выданный ________к/п _______, зарегистрированная по адресу: _____ именуемый в дальнейшем «Покупатель», с другой стороны, и именуемые при совместном упоминании «Стороны», на основании Протокола _________ № __________  от ________ года, заключили настоящий Договор о нижеследующем:</w:t>
      </w:r>
    </w:p>
    <w:p>
      <w:pPr>
        <w:pStyle w:val="Normal"/>
        <w:numPr>
          <w:ilvl w:val="0"/>
          <w:numId w:val="0"/>
        </w:numPr>
        <w:spacing w:lineRule="auto" w:line="240"/>
        <w:ind w:left="1080" w:right="0" w:hanging="0"/>
        <w:jc w:val="both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/>
        <w:ind w:left="1080" w:right="0" w:hanging="0"/>
        <w:jc w:val="both"/>
        <w:rPr/>
      </w:pPr>
      <w:r>
        <w:rPr>
          <w:b/>
          <w:sz w:val="24"/>
          <w:szCs w:val="24"/>
          <w:lang w:eastAsia="ru-RU"/>
        </w:rPr>
        <w:t xml:space="preserve">                                   </w:t>
      </w:r>
      <w:r>
        <w:rPr>
          <w:b/>
          <w:sz w:val="24"/>
          <w:szCs w:val="24"/>
          <w:lang w:eastAsia="ru-RU"/>
        </w:rPr>
        <w:t>1. Предмет Договора</w:t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 xml:space="preserve">1.1. «Продавец» продает, а «Покупатель» приобретает в собственность имущество, принадлежащее на праве собственности муниципальному образованию "Ковылкинское сельское поселение" муниципальное имущество: </w:t>
      </w:r>
      <w:r>
        <w:rPr>
          <w:iCs/>
          <w:sz w:val="24"/>
          <w:szCs w:val="24"/>
        </w:rPr>
        <w:t xml:space="preserve">Земельный участок: категория земель- земли сельскохозяйственного назначения, разрешенное использование: </w:t>
      </w:r>
      <w:r>
        <w:rPr>
          <w:rFonts w:ascii="TimesNewRomanPSMT" w:hAnsi="TimesNewRomanPSMT"/>
          <w:iCs/>
          <w:sz w:val="24"/>
          <w:szCs w:val="24"/>
        </w:rPr>
        <w:t>В</w:t>
      </w:r>
      <w:r>
        <w:rPr>
          <w:rFonts w:ascii="TimesNewRomanPSMT" w:hAnsi="TimesNewRomanPSMT"/>
          <w:sz w:val="24"/>
          <w:szCs w:val="24"/>
        </w:rPr>
        <w:t>ыращивание зерновых и иных сельскохозяйственных культур</w:t>
      </w:r>
      <w:r>
        <w:rPr>
          <w:rFonts w:ascii="TimesNewRomanPSMT" w:hAnsi="TimesNewRomanPSMT"/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площадью </w:t>
      </w:r>
      <w:r>
        <w:rPr>
          <w:rFonts w:ascii="TimesNewRomanPSMT" w:hAnsi="TimesNewRomanPSMT"/>
          <w:iCs/>
          <w:sz w:val="24"/>
          <w:szCs w:val="24"/>
        </w:rPr>
        <w:t>10000 +/- 140</w:t>
      </w:r>
      <w:r>
        <w:rPr>
          <w:sz w:val="24"/>
          <w:szCs w:val="24"/>
        </w:rPr>
        <w:t xml:space="preserve"> кв.м., </w:t>
      </w:r>
      <w:r>
        <w:rPr>
          <w:iCs/>
          <w:sz w:val="24"/>
          <w:szCs w:val="24"/>
        </w:rPr>
        <w:t xml:space="preserve">кадастровый номер: </w:t>
      </w:r>
      <w:r>
        <w:rPr>
          <w:sz w:val="24"/>
          <w:szCs w:val="24"/>
        </w:rPr>
        <w:t>61:38:0600010:418</w:t>
      </w:r>
      <w:r>
        <w:rPr>
          <w:iCs/>
          <w:sz w:val="24"/>
          <w:szCs w:val="24"/>
        </w:rPr>
        <w:t xml:space="preserve">. Местоположение: </w:t>
      </w:r>
      <w:r>
        <w:rPr>
          <w:rFonts w:ascii="TimesNewRomanPSMT" w:hAnsi="TimesNewRomanPSMT"/>
          <w:iCs/>
          <w:sz w:val="24"/>
          <w:szCs w:val="24"/>
        </w:rPr>
        <w:t>Р</w:t>
      </w:r>
      <w:r>
        <w:rPr>
          <w:rFonts w:ascii="TimesNewRomanPSMT" w:hAnsi="TimesNewRomanPSMT"/>
          <w:sz w:val="24"/>
          <w:szCs w:val="24"/>
        </w:rPr>
        <w:t>остовская обл, р-н Тацинский, в 1 км по направлению на север от х. Ковылкин.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 xml:space="preserve">1.2. </w:t>
      </w:r>
      <w:r>
        <w:rPr>
          <w:color w:val="000000"/>
          <w:sz w:val="24"/>
          <w:szCs w:val="24"/>
          <w:lang w:eastAsia="ru-RU"/>
        </w:rPr>
        <w:t>Указанное в п.1.1 Договора «Имущество»</w:t>
      </w:r>
      <w:r>
        <w:rPr>
          <w:color w:val="000000"/>
          <w:sz w:val="24"/>
          <w:szCs w:val="24"/>
        </w:rPr>
        <w:t xml:space="preserve"> принадлежит  «Продавцу»  на праве собственности, о чем в едином государственном реестре прав на недвижимое имущество и сделок с ним </w:t>
      </w:r>
      <w:r>
        <w:rPr>
          <w:rFonts w:ascii="TimesNewRomanPSMT" w:hAnsi="TimesNewRomanPSMT"/>
          <w:b w:val="false"/>
          <w:bCs w:val="false"/>
          <w:color w:val="000000"/>
          <w:sz w:val="24"/>
          <w:szCs w:val="24"/>
          <w:lang w:eastAsia="ru-RU"/>
        </w:rPr>
        <w:t>29.07.2014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года сделана запись регистрации № </w:t>
      </w:r>
      <w:r>
        <w:rPr>
          <w:rFonts w:ascii="TimesNewRomanPSMT" w:hAnsi="TimesNewRomanPSMT"/>
          <w:b w:val="false"/>
          <w:bCs w:val="false"/>
          <w:color w:val="000000"/>
          <w:sz w:val="24"/>
          <w:szCs w:val="24"/>
          <w:lang w:eastAsia="ru-RU"/>
        </w:rPr>
        <w:t>61-61-44/027/2014-341</w:t>
      </w:r>
      <w:r>
        <w:rPr>
          <w:rFonts w:eastAsia="SimSun" w:cs="Mangal" w:ascii="TimesNewRomanPSMT" w:hAnsi="TimesNewRomanPSMT"/>
          <w:color w:val="000000"/>
          <w:sz w:val="24"/>
          <w:szCs w:val="24"/>
          <w:lang w:eastAsia="zh-CN" w:bidi="hi-IN"/>
        </w:rPr>
        <w:t xml:space="preserve"> ,</w:t>
      </w:r>
      <w:r>
        <w:rPr>
          <w:color w:val="000000"/>
          <w:sz w:val="24"/>
          <w:szCs w:val="24"/>
        </w:rPr>
        <w:t xml:space="preserve"> находится в муниципальной казне муниципального образования «Ковылкинское сельское поселение» и состоит на балансе  Администрации Ковылкинского сельского поселения</w:t>
      </w:r>
      <w:r>
        <w:rPr>
          <w:sz w:val="24"/>
          <w:szCs w:val="24"/>
        </w:rPr>
        <w:t>.</w:t>
      </w:r>
    </w:p>
    <w:p>
      <w:pPr>
        <w:pStyle w:val="Normal"/>
        <w:spacing w:lineRule="auto" w:line="240"/>
        <w:ind w:left="0" w:right="0" w:firstLine="709"/>
        <w:jc w:val="both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b/>
          <w:bCs/>
          <w:sz w:val="24"/>
          <w:szCs w:val="24"/>
          <w:lang w:eastAsia="ru-RU"/>
        </w:rPr>
        <w:t xml:space="preserve">                </w:t>
      </w:r>
      <w:r>
        <w:rPr>
          <w:b/>
          <w:bCs/>
          <w:sz w:val="24"/>
          <w:szCs w:val="24"/>
          <w:lang w:eastAsia="ru-RU"/>
        </w:rPr>
        <w:t>2. Стоимость Имущества и порядок расчетов</w:t>
      </w:r>
    </w:p>
    <w:p>
      <w:pPr>
        <w:pStyle w:val="Normal"/>
        <w:spacing w:lineRule="auto" w:line="240"/>
        <w:ind w:left="0" w:right="0" w:firstLine="709"/>
        <w:jc w:val="both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>2.1. Установленная по результатам аукциона продажная цена «Имущества», указанного в пункте 1.1 настоящего Договора, составляет _____ коп (_________) 00 рублей с учетом НДС. «Стороны» согласились с тем, что указанная цена является окончательной и изменению не подлежит.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2.2. Подлежащую уплате цену (за вычетом задатка ____ рублей 00 копеек) «Имущества» в размере _______ руб. 00 коп (_______) 00 рублей, «Покупатель» перечисляет на следующие реквизиты:</w:t>
      </w:r>
    </w:p>
    <w:p>
      <w:pPr>
        <w:pStyle w:val="Normal"/>
        <w:ind w:left="0" w:right="0" w:firstLine="708"/>
        <w:jc w:val="both"/>
        <w:rPr/>
      </w:pP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УФК по Ростовской области ( Администрация Ковылкинского сельского поселения, л/с 03583117140) ИНН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6134009849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КПП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613401001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код ОКТМО 60654444,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Казначейский счет</w:t>
      </w:r>
      <w:r>
        <w:rPr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03231643606544445800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ЕКС 40102810845370000050.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Отделение Ростов-на-Дону банка России/УФК по Ростовской области г. Ростова-на-Дону, БИК </w:t>
      </w:r>
      <w:r>
        <w:rPr>
          <w:b w:val="false"/>
          <w:bCs/>
          <w:i w:val="false"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016015102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,                                                КБК 951  114 06025 10  0000 430 </w:t>
      </w:r>
      <w:r>
        <w:rPr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-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доходы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4"/>
          <w:u w:val="none"/>
          <w:em w:val="none"/>
          <w:lang w:val="ru-RU"/>
        </w:rPr>
        <w:t xml:space="preserve">от продажи земельных участков,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3"/>
          <w:szCs w:val="24"/>
          <w:u w:val="none"/>
          <w:em w:val="none"/>
          <w:lang w:val="ru-RU"/>
        </w:rPr>
        <w:t>н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3"/>
          <w:u w:val="none"/>
          <w:em w:val="none"/>
        </w:rPr>
        <w:t>аходящихся в собственности сельских  поселений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4"/>
          <w:u w:val="none"/>
          <w:em w:val="none"/>
          <w:lang w:val="ru-RU"/>
        </w:rPr>
        <w:t>.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Назначение платежа: оплата за земельный участок по договору купли-продажи от___№_____ </w:t>
      </w:r>
      <w:r>
        <w:rPr>
          <w:bCs/>
          <w:color w:val="800000"/>
          <w:sz w:val="28"/>
          <w:szCs w:val="28"/>
          <w:lang w:val="ru-RU"/>
        </w:rPr>
        <w:t xml:space="preserve"> </w:t>
      </w:r>
      <w:r>
        <w:rPr>
          <w:sz w:val="24"/>
          <w:szCs w:val="24"/>
        </w:rPr>
        <w:t xml:space="preserve"> в течение 10 (десяти) дней со дня заключения настоящего Договора. Моментом оплаты считается день зачисления на счет «Продавца» и бюджета Ковылкинского сельского поселения  денежных средств, указанных в настоящем пункте.</w:t>
      </w:r>
    </w:p>
    <w:p>
      <w:pPr>
        <w:pStyle w:val="Normal"/>
        <w:spacing w:lineRule="auto" w:line="240"/>
        <w:ind w:left="0" w:righ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left="360" w:right="0" w:hanging="0"/>
        <w:jc w:val="center"/>
        <w:rPr/>
      </w:pPr>
      <w:r>
        <w:rPr>
          <w:sz w:val="24"/>
          <w:szCs w:val="24"/>
        </w:rPr>
        <w:t xml:space="preserve">3. ПЕРЕДАЧА «ИМУЩЕСТВА». </w:t>
      </w:r>
    </w:p>
    <w:p>
      <w:pPr>
        <w:pStyle w:val="Normal"/>
        <w:ind w:left="360" w:right="0" w:hanging="0"/>
        <w:jc w:val="center"/>
        <w:rPr/>
      </w:pPr>
      <w:r>
        <w:rPr>
          <w:sz w:val="24"/>
          <w:szCs w:val="24"/>
        </w:rPr>
        <w:t>ПЕРЕХОД ПРАВА СОБСТВЕННОСТИ</w:t>
      </w:r>
    </w:p>
    <w:p>
      <w:pPr>
        <w:pStyle w:val="Normal"/>
        <w:ind w:left="0" w:right="0" w:firstLine="360"/>
        <w:jc w:val="both"/>
        <w:rPr/>
      </w:pPr>
      <w:r>
        <w:rPr>
          <w:sz w:val="24"/>
          <w:szCs w:val="24"/>
        </w:rPr>
        <w:t>3.1. «Продавец» гарантирует, что до совершения настоящего Договора указанное в пункте 1.1 настоящего Договора «Имущество» никому другому не проданы, не заложены, в споре, под арестом и запретом не состоят и свободны от любых прав третьих лиц, о которых в момент заключения Договора «Стороны» не могли не знать.</w:t>
      </w:r>
    </w:p>
    <w:p>
      <w:pPr>
        <w:pStyle w:val="Normal"/>
        <w:ind w:left="0" w:right="0" w:firstLine="360"/>
        <w:jc w:val="both"/>
        <w:rPr/>
      </w:pPr>
      <w:r>
        <w:rPr>
          <w:sz w:val="24"/>
          <w:szCs w:val="24"/>
        </w:rPr>
        <w:t>3.2. Фактическая передача продаваемых «Имущества» производится в трехдневный срок с момента оплаты по акту приема-передачи, который является неотъемлемой частью настоящего Договора.</w:t>
      </w:r>
    </w:p>
    <w:p>
      <w:pPr>
        <w:pStyle w:val="Normal"/>
        <w:numPr>
          <w:ilvl w:val="0"/>
          <w:numId w:val="5"/>
        </w:numPr>
        <w:spacing w:lineRule="auto" w:line="240"/>
        <w:jc w:val="center"/>
        <w:rPr/>
      </w:pPr>
      <w:r>
        <w:rPr>
          <w:sz w:val="24"/>
          <w:szCs w:val="24"/>
        </w:rPr>
        <w:t>ЗАКЛЮЧИТЕЛЬНЫЕ ПОЛОЖЕНИЯ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 xml:space="preserve">4.1. Во всем остальном, что не предусмотрено настоящим Договором, в том числе права и обязанности «Сторон», их ответственность за неисполнение или ненадлежащее исполнение обязательств по настоящему Договору, </w:t>
      </w:r>
    </w:p>
    <w:p>
      <w:pPr>
        <w:pStyle w:val="Normal"/>
        <w:ind w:left="0" w:right="0" w:firstLine="708"/>
        <w:jc w:val="both"/>
        <w:rPr/>
      </w:pPr>
      <w:r>
        <w:rPr>
          <w:sz w:val="24"/>
          <w:szCs w:val="24"/>
        </w:rPr>
        <w:t>«Стороны» руководствуются нормами и требованиями действующего законодательства со всеми дополнениями и изменениями, обязательными для «Сторон».</w:t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>4.2.  Договор считается заключенным и вступает в силу со дня его подписания «Сторонами». Датой подписания Договора является дата, указанная в самом Договоре.</w:t>
      </w:r>
    </w:p>
    <w:p>
      <w:pPr>
        <w:pStyle w:val="Normal"/>
        <w:ind w:left="0" w:right="0" w:firstLine="720"/>
        <w:jc w:val="both"/>
        <w:rPr/>
      </w:pPr>
      <w:r>
        <w:rPr>
          <w:sz w:val="24"/>
          <w:szCs w:val="24"/>
        </w:rPr>
        <w:t>4.3.   Договор купли-продажи имеет силу передаточного акта.</w:t>
      </w:r>
    </w:p>
    <w:p>
      <w:pPr>
        <w:pStyle w:val="Normal"/>
        <w:ind w:left="0" w:right="0" w:firstLine="360"/>
        <w:jc w:val="both"/>
        <w:rPr/>
      </w:pPr>
      <w:r>
        <w:rPr>
          <w:sz w:val="24"/>
          <w:szCs w:val="24"/>
        </w:rPr>
        <w:t xml:space="preserve">  </w:t>
      </w:r>
      <w:bookmarkStart w:id="4" w:name="_Hlk494107049"/>
      <w:r>
        <w:rPr>
          <w:sz w:val="24"/>
          <w:szCs w:val="24"/>
        </w:rPr>
        <w:t>4.4.</w:t>
      </w:r>
      <w:bookmarkEnd w:id="4"/>
      <w:r>
        <w:rPr>
          <w:sz w:val="24"/>
          <w:szCs w:val="24"/>
        </w:rPr>
        <w:t xml:space="preserve"> Любые изменения и (или) дополнения к настоящему Договору считаются действительными, если они совершены в письменной форме и подписаны «Сторонами» либо их надлежаще уполномоченными представителями.</w:t>
      </w:r>
    </w:p>
    <w:p>
      <w:pPr>
        <w:pStyle w:val="Normal"/>
        <w:tabs>
          <w:tab w:val="left" w:pos="1800" w:leader="none"/>
        </w:tabs>
        <w:jc w:val="both"/>
        <w:rPr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4.5. Договор совершен и подписан в 2 экземплярах, имеющих одинаковую юридическую силу. </w:t>
      </w:r>
    </w:p>
    <w:p>
      <w:pPr>
        <w:pStyle w:val="Normal"/>
        <w:jc w:val="center"/>
        <w:rPr/>
      </w:pPr>
      <w:r>
        <w:rPr>
          <w:sz w:val="24"/>
          <w:szCs w:val="24"/>
        </w:rPr>
        <w:t>5. Финансовые реквизиты, юридические адреса и подписи «Сторон»: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Style_10"/>
        <w:tblW w:w="10349" w:type="dxa"/>
        <w:jc w:val="left"/>
        <w:tblInd w:w="-175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4819"/>
      </w:tblGrid>
      <w:tr>
        <w:trPr/>
        <w:tc>
          <w:tcPr>
            <w:tcW w:w="552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Продавец: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Муниципальное образование "Ковылкинское сельское поселение" в лице Главы Администрации Ковылкинского сельского поселения Лачугиной Т.В.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Ростовская область, Тацинский район, </w:t>
            </w:r>
          </w:p>
          <w:p>
            <w:pPr>
              <w:pStyle w:val="Normal"/>
              <w:rPr/>
            </w:pPr>
            <w:r>
              <w:rPr>
                <w:bCs/>
                <w:sz w:val="24"/>
                <w:szCs w:val="24"/>
              </w:rPr>
              <w:t>х.Ковылкин, ул.Советская, 26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получатель платежа –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УФК по Ростовской области (Администрация Ковылкинского сельского поселения, л/с 03583117140) ИНН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6134009849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КПП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613401001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код ОКТМО 60654444,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Казначейский счет 03231643606544445800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,                                     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ЕКС 40102810845370000050.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Отделение Ростов-на-Дону банка России/УФК по Ростовской области г. Ростова-на-Дону,       БИК </w:t>
            </w:r>
            <w:r>
              <w:rPr>
                <w:b w:val="false"/>
                <w:bCs w:val="false"/>
                <w:iCs/>
                <w:color w:val="000000"/>
                <w:sz w:val="24"/>
                <w:szCs w:val="24"/>
              </w:rPr>
              <w:t>016015102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__________________  ______________                   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(подпись)                             Ф.И.О.     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Покупатель: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_________________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  <w:t xml:space="preserve">Отпечатано в Администрации Ковылкинского сельского поселения. </w:t>
      </w:r>
    </w:p>
    <w:p>
      <w:pPr>
        <w:pStyle w:val="Normal"/>
        <w:rPr/>
      </w:pPr>
      <w:r>
        <w:rPr>
          <w:b/>
          <w:sz w:val="20"/>
        </w:rPr>
        <w:t>Тираж 10 экз. регистрационный № 1</w:t>
      </w:r>
      <w:r>
        <w:rPr>
          <w:b/>
          <w:sz w:val="20"/>
        </w:rPr>
        <w:t>9</w:t>
      </w:r>
      <w:r>
        <w:rPr>
          <w:b/>
          <w:sz w:val="20"/>
        </w:rPr>
        <w:t xml:space="preserve"> от 20.05.2025 года.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sectPr>
      <w:footerReference w:type="default" r:id="rId6"/>
      <w:type w:val="nextPage"/>
      <w:pgSz w:w="11906" w:h="16838"/>
      <w:pgMar w:left="851" w:right="1418" w:header="0" w:top="851" w:footer="72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Arial CYR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hanging="-3"/>
      </w:pPr>
    </w:lvl>
    <w:lvl w:ilvl="2">
      <w:start w:val="1"/>
      <w:numFmt w:val="decimal"/>
      <w:lvlText w:val="%1.%2.%3."/>
      <w:lvlJc w:val="left"/>
      <w:pPr>
        <w:ind w:left="357" w:hanging="-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59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96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22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93_ch"/>
    <w:uiPriority w:val="9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link w:val="Style_54_ch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Standard" w:default="1">
    <w:name w:val="Standard"/>
    <w:link w:val="Style_4"/>
    <w:qFormat/>
    <w:rPr>
      <w:sz w:val="24"/>
    </w:rPr>
  </w:style>
  <w:style w:type="character" w:styleId="Footer">
    <w:name w:val="Footer"/>
    <w:basedOn w:val="Standard"/>
    <w:link w:val="Style_1"/>
    <w:qFormat/>
    <w:rPr>
      <w:rFonts w:ascii="Calibri" w:hAnsi="Calibri"/>
      <w:sz w:val="22"/>
    </w:rPr>
  </w:style>
  <w:style w:type="character" w:styleId="Endnotereference">
    <w:name w:val="endnote reference"/>
    <w:link w:val="Style_5"/>
    <w:qFormat/>
    <w:rPr>
      <w:vertAlign w:val="superscript"/>
    </w:rPr>
  </w:style>
  <w:style w:type="character" w:styleId="11">
    <w:name w:val="Основной шрифт абзаца1"/>
    <w:link w:val="Style_6"/>
    <w:qFormat/>
    <w:rPr/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Xl65">
    <w:name w:val="xl65"/>
    <w:basedOn w:val="Standard"/>
    <w:link w:val="Style_8"/>
    <w:qFormat/>
    <w:rPr>
      <w:rFonts w:ascii="Arial CYR" w:hAnsi="Arial CYR"/>
      <w:sz w:val="16"/>
    </w:rPr>
  </w:style>
  <w:style w:type="character" w:styleId="WW8Num1z0">
    <w:name w:val="WW8Num1z0"/>
    <w:link w:val="Style_9"/>
    <w:qFormat/>
    <w:rPr/>
  </w:style>
  <w:style w:type="character" w:styleId="Style9">
    <w:name w:val="Символ нумерации"/>
    <w:link w:val="Style_10"/>
    <w:qFormat/>
    <w:rPr/>
  </w:style>
  <w:style w:type="character" w:styleId="Contents4">
    <w:name w:val="Contents 4"/>
    <w:link w:val="Style_11"/>
    <w:qFormat/>
    <w:rPr>
      <w:rFonts w:ascii="XO Thames" w:hAnsi="XO Thames"/>
      <w:sz w:val="28"/>
    </w:rPr>
  </w:style>
  <w:style w:type="character" w:styleId="Xl76">
    <w:name w:val="xl76"/>
    <w:basedOn w:val="Standard"/>
    <w:link w:val="Style_12"/>
    <w:qFormat/>
    <w:rPr>
      <w:i/>
      <w:color w:val="000000"/>
    </w:rPr>
  </w:style>
  <w:style w:type="character" w:styleId="01">
    <w:name w:val="Стиль Пункт_№) + Черный После:  0 пт1"/>
    <w:basedOn w:val="Style11"/>
    <w:link w:val="Style_13"/>
    <w:qFormat/>
    <w:rPr>
      <w:color w:val="000000"/>
    </w:rPr>
  </w:style>
  <w:style w:type="character" w:styleId="BodyText2">
    <w:name w:val="Body Text 2"/>
    <w:basedOn w:val="Standard"/>
    <w:link w:val="Style_15"/>
    <w:qFormat/>
    <w:rPr/>
  </w:style>
  <w:style w:type="character" w:styleId="Contents6">
    <w:name w:val="Contents 6"/>
    <w:link w:val="Style_16"/>
    <w:qFormat/>
    <w:rPr>
      <w:rFonts w:ascii="XO Thames" w:hAnsi="XO Thames"/>
      <w:sz w:val="28"/>
    </w:rPr>
  </w:style>
  <w:style w:type="character" w:styleId="Contents7">
    <w:name w:val="Contents 7"/>
    <w:link w:val="Style_17"/>
    <w:qFormat/>
    <w:rPr>
      <w:rFonts w:ascii="XO Thames" w:hAnsi="XO Thames"/>
      <w:sz w:val="28"/>
    </w:rPr>
  </w:style>
  <w:style w:type="character" w:styleId="Style10">
    <w:name w:val="Текст абазаца"/>
    <w:basedOn w:val="Standard"/>
    <w:link w:val="Style_18"/>
    <w:qFormat/>
    <w:rPr>
      <w:sz w:val="28"/>
    </w:rPr>
  </w:style>
  <w:style w:type="character" w:styleId="Xl82">
    <w:name w:val="xl82"/>
    <w:basedOn w:val="Standard"/>
    <w:link w:val="Style_19"/>
    <w:qFormat/>
    <w:rPr>
      <w:b/>
      <w:color w:val="000000"/>
    </w:rPr>
  </w:style>
  <w:style w:type="character" w:styleId="WWAbsatzStandardschriftart111111">
    <w:name w:val="WW-Absatz-Standardschriftart111111"/>
    <w:link w:val="Style_20"/>
    <w:qFormat/>
    <w:rPr/>
  </w:style>
  <w:style w:type="character" w:styleId="WWAbsatzStandardschriftart1111">
    <w:name w:val="WW-Absatz-Standardschriftart1111"/>
    <w:link w:val="Style_21"/>
    <w:qFormat/>
    <w:rPr/>
  </w:style>
  <w:style w:type="character" w:styleId="Heading3">
    <w:name w:val="Heading 3"/>
    <w:link w:val="Style_22"/>
    <w:qFormat/>
    <w:rPr>
      <w:rFonts w:ascii="XO Thames" w:hAnsi="XO Thames"/>
      <w:b/>
      <w:sz w:val="26"/>
    </w:rPr>
  </w:style>
  <w:style w:type="character" w:styleId="Style11">
    <w:name w:val="Пункт_№)"/>
    <w:basedOn w:val="Standard"/>
    <w:link w:val="Style_14"/>
    <w:qFormat/>
    <w:rPr>
      <w:sz w:val="28"/>
    </w:rPr>
  </w:style>
  <w:style w:type="character" w:styleId="Footnotereference">
    <w:name w:val="footnote reference"/>
    <w:link w:val="Style_23"/>
    <w:qFormat/>
    <w:rPr>
      <w:vertAlign w:val="superscript"/>
    </w:rPr>
  </w:style>
  <w:style w:type="character" w:styleId="Style12">
    <w:name w:val="Статья"/>
    <w:basedOn w:val="Standard"/>
    <w:link w:val="Style_24"/>
    <w:qFormat/>
    <w:rPr>
      <w:color w:val="000000"/>
      <w:sz w:val="28"/>
    </w:rPr>
  </w:style>
  <w:style w:type="character" w:styleId="WWAbsatzStandardschriftart111111111111">
    <w:name w:val="WW-Absatz-Standardschriftart111111111111"/>
    <w:link w:val="Style_25"/>
    <w:qFormat/>
    <w:rPr/>
  </w:style>
  <w:style w:type="character" w:styleId="ListParagraph">
    <w:name w:val="List Paragraph"/>
    <w:basedOn w:val="Standard"/>
    <w:link w:val="Style_26"/>
    <w:qFormat/>
    <w:rPr>
      <w:rFonts w:ascii="Calibri" w:hAnsi="Calibri"/>
      <w:sz w:val="22"/>
    </w:rPr>
  </w:style>
  <w:style w:type="character" w:styleId="FollowedHyperlink">
    <w:name w:val="FollowedHyperlink"/>
    <w:link w:val="Style_27"/>
    <w:qFormat/>
    <w:rPr>
      <w:color w:val="954F72"/>
      <w:u w:val="single"/>
    </w:rPr>
  </w:style>
  <w:style w:type="character" w:styleId="Style13">
    <w:name w:val="Абазц_№"/>
    <w:basedOn w:val="Standard"/>
    <w:link w:val="Style_28"/>
    <w:qFormat/>
    <w:rPr>
      <w:sz w:val="28"/>
    </w:rPr>
  </w:style>
  <w:style w:type="character" w:styleId="ConsTitle">
    <w:name w:val="ConsTitle"/>
    <w:link w:val="Style_29"/>
    <w:qFormat/>
    <w:rPr>
      <w:rFonts w:ascii="Arial" w:hAnsi="Arial"/>
      <w:b/>
      <w:sz w:val="16"/>
    </w:rPr>
  </w:style>
  <w:style w:type="character" w:styleId="Xl78">
    <w:name w:val="xl78"/>
    <w:basedOn w:val="Standard"/>
    <w:link w:val="Style_30"/>
    <w:qFormat/>
    <w:rPr>
      <w:i/>
      <w:color w:val="000000"/>
    </w:rPr>
  </w:style>
  <w:style w:type="character" w:styleId="WWAbsatzStandardschriftart11111111111">
    <w:name w:val="WW-Absatz-Standardschriftart11111111111"/>
    <w:link w:val="Style_31"/>
    <w:qFormat/>
    <w:rPr/>
  </w:style>
  <w:style w:type="character" w:styleId="WWAbsatzStandardschriftart1111111111">
    <w:name w:val="WW-Absatz-Standardschriftart1111111111"/>
    <w:link w:val="Style_32"/>
    <w:qFormat/>
    <w:rPr/>
  </w:style>
  <w:style w:type="character" w:styleId="Textbodyindent">
    <w:name w:val="Text body indent"/>
    <w:basedOn w:val="Standard"/>
    <w:link w:val="Style_33"/>
    <w:qFormat/>
    <w:rPr/>
  </w:style>
  <w:style w:type="character" w:styleId="BalloonText">
    <w:name w:val="Balloon Text"/>
    <w:basedOn w:val="Standard"/>
    <w:link w:val="Style_34"/>
    <w:qFormat/>
    <w:rPr>
      <w:rFonts w:ascii="Tahoma" w:hAnsi="Tahoma"/>
      <w:sz w:val="16"/>
    </w:rPr>
  </w:style>
  <w:style w:type="character" w:styleId="WWAbsatzStandardschriftart1111111111111">
    <w:name w:val="WW-Absatz-Standardschriftart1111111111111"/>
    <w:link w:val="Style_35"/>
    <w:qFormat/>
    <w:rPr/>
  </w:style>
  <w:style w:type="character" w:styleId="Style14">
    <w:name w:val="Заголовок таблицы"/>
    <w:basedOn w:val="Style17"/>
    <w:link w:val="Style_36"/>
    <w:qFormat/>
    <w:rPr>
      <w:b/>
    </w:rPr>
  </w:style>
  <w:style w:type="character" w:styleId="Xl63">
    <w:name w:val="xl63"/>
    <w:basedOn w:val="Standard"/>
    <w:link w:val="Style_38"/>
    <w:qFormat/>
    <w:rPr>
      <w:sz w:val="16"/>
    </w:rPr>
  </w:style>
  <w:style w:type="character" w:styleId="Xl74">
    <w:name w:val="xl74"/>
    <w:basedOn w:val="Standard"/>
    <w:link w:val="Style_39"/>
    <w:qFormat/>
    <w:rPr/>
  </w:style>
  <w:style w:type="character" w:styleId="Xl66">
    <w:name w:val="xl66"/>
    <w:basedOn w:val="Standard"/>
    <w:link w:val="Style_40"/>
    <w:qFormat/>
    <w:rPr>
      <w:b/>
      <w:color w:val="000000"/>
    </w:rPr>
  </w:style>
  <w:style w:type="character" w:styleId="Xl73">
    <w:name w:val="xl73"/>
    <w:basedOn w:val="Standard"/>
    <w:link w:val="Style_41"/>
    <w:qFormat/>
    <w:rPr>
      <w:b/>
      <w:color w:val="000000"/>
    </w:rPr>
  </w:style>
  <w:style w:type="character" w:styleId="Xl79">
    <w:name w:val="xl79"/>
    <w:basedOn w:val="Standard"/>
    <w:link w:val="Style_42"/>
    <w:qFormat/>
    <w:rPr>
      <w:i/>
      <w:color w:val="000000"/>
    </w:rPr>
  </w:style>
  <w:style w:type="character" w:styleId="Xl72">
    <w:name w:val="xl72"/>
    <w:basedOn w:val="Standard"/>
    <w:link w:val="Style_43"/>
    <w:qFormat/>
    <w:rPr>
      <w:b/>
      <w:color w:val="000000"/>
    </w:rPr>
  </w:style>
  <w:style w:type="character" w:styleId="Contents3">
    <w:name w:val="Contents 3"/>
    <w:link w:val="Style_44"/>
    <w:qFormat/>
    <w:rPr>
      <w:rFonts w:ascii="XO Thames" w:hAnsi="XO Thames"/>
      <w:sz w:val="28"/>
    </w:rPr>
  </w:style>
  <w:style w:type="character" w:styleId="12">
    <w:name w:val="Указатель1"/>
    <w:basedOn w:val="Standard"/>
    <w:link w:val="Style_45"/>
    <w:qFormat/>
    <w:rPr>
      <w:rFonts w:ascii="Arial" w:hAnsi="Arial"/>
    </w:rPr>
  </w:style>
  <w:style w:type="character" w:styleId="DefaultParagraphFont">
    <w:name w:val="Default Paragraph Font"/>
    <w:link w:val="Style_46"/>
    <w:qFormat/>
    <w:rPr/>
  </w:style>
  <w:style w:type="character" w:styleId="Style15">
    <w:name w:val="Абазц_№ Знак"/>
    <w:basedOn w:val="Standard"/>
    <w:link w:val="Style_47"/>
    <w:qFormat/>
    <w:rPr>
      <w:color w:val="000000"/>
      <w:sz w:val="28"/>
    </w:rPr>
  </w:style>
  <w:style w:type="character" w:styleId="WWAbsatzStandardschriftart11111111111111">
    <w:name w:val="WW-Absatz-Standardschriftart11111111111111"/>
    <w:link w:val="Style_48"/>
    <w:qFormat/>
    <w:rPr/>
  </w:style>
  <w:style w:type="character" w:styleId="Pagenumber">
    <w:name w:val="page number"/>
    <w:link w:val="Style_49"/>
    <w:qFormat/>
    <w:rPr/>
  </w:style>
  <w:style w:type="character" w:styleId="Textbody">
    <w:name w:val="Text body"/>
    <w:basedOn w:val="Standard"/>
    <w:link w:val="Style_50"/>
    <w:qFormat/>
    <w:rPr>
      <w:sz w:val="28"/>
    </w:rPr>
  </w:style>
  <w:style w:type="character" w:styleId="Header">
    <w:name w:val="Header"/>
    <w:basedOn w:val="Standard"/>
    <w:link w:val="Style_51"/>
    <w:qFormat/>
    <w:rPr>
      <w:rFonts w:ascii="Calibri" w:hAnsi="Calibri"/>
      <w:sz w:val="22"/>
    </w:rPr>
  </w:style>
  <w:style w:type="character" w:styleId="WWAbsatzStandardschriftart11111111">
    <w:name w:val="WW-Absatz-Standardschriftart11111111"/>
    <w:link w:val="Style_52"/>
    <w:qFormat/>
    <w:rPr/>
  </w:style>
  <w:style w:type="character" w:styleId="0">
    <w:name w:val="Стиль Пункт_№) + Черный После:  0 пт"/>
    <w:basedOn w:val="Style11"/>
    <w:link w:val="Style_53"/>
    <w:qFormat/>
    <w:rPr>
      <w:color w:val="000000"/>
    </w:rPr>
  </w:style>
  <w:style w:type="character" w:styleId="Heading5">
    <w:name w:val="Heading 5"/>
    <w:basedOn w:val="Standard"/>
    <w:link w:val="Style_54"/>
    <w:qFormat/>
    <w:rPr>
      <w:sz w:val="28"/>
    </w:rPr>
  </w:style>
  <w:style w:type="character" w:styleId="DocumentMap">
    <w:name w:val="Document Map"/>
    <w:basedOn w:val="Standard"/>
    <w:link w:val="Style_55"/>
    <w:qFormat/>
    <w:rPr>
      <w:rFonts w:ascii="Tahoma" w:hAnsi="Tahoma"/>
      <w:sz w:val="20"/>
    </w:rPr>
  </w:style>
  <w:style w:type="character" w:styleId="WWAbsatzStandardschriftart1111111">
    <w:name w:val="WW-Absatz-Standardschriftart1111111"/>
    <w:link w:val="Style_57"/>
    <w:qFormat/>
    <w:rPr/>
  </w:style>
  <w:style w:type="character" w:styleId="Xl71">
    <w:name w:val="xl71"/>
    <w:basedOn w:val="Standard"/>
    <w:link w:val="Style_58"/>
    <w:qFormat/>
    <w:rPr>
      <w:color w:val="000000"/>
    </w:rPr>
  </w:style>
  <w:style w:type="character" w:styleId="Heading1">
    <w:name w:val="Heading 1"/>
    <w:link w:val="Style_59"/>
    <w:qFormat/>
    <w:rPr>
      <w:rFonts w:ascii="XO Thames" w:hAnsi="XO Thames"/>
      <w:b/>
      <w:sz w:val="32"/>
    </w:rPr>
  </w:style>
  <w:style w:type="character" w:styleId="Xl80">
    <w:name w:val="xl80"/>
    <w:basedOn w:val="Standard"/>
    <w:link w:val="Style_60"/>
    <w:qFormat/>
    <w:rPr>
      <w:color w:val="000000"/>
    </w:rPr>
  </w:style>
  <w:style w:type="character" w:styleId="21">
    <w:name w:val="Основной текст с отступом 21"/>
    <w:basedOn w:val="Standard"/>
    <w:link w:val="Style_61"/>
    <w:qFormat/>
    <w:rPr/>
  </w:style>
  <w:style w:type="character" w:styleId="Endnotetext">
    <w:name w:val="endnote text"/>
    <w:basedOn w:val="Standard"/>
    <w:link w:val="Style_62"/>
    <w:qFormat/>
    <w:rPr>
      <w:sz w:val="20"/>
    </w:rPr>
  </w:style>
  <w:style w:type="character" w:styleId="Style16">
    <w:name w:val="Интернет-ссылка"/>
    <w:link w:val="Style_63"/>
    <w:rPr>
      <w:color w:val="0000FF"/>
      <w:u w:val="single"/>
    </w:rPr>
  </w:style>
  <w:style w:type="character" w:styleId="Footnote">
    <w:name w:val="Footnote"/>
    <w:basedOn w:val="Standard"/>
    <w:link w:val="Style_64"/>
    <w:qFormat/>
    <w:rPr>
      <w:sz w:val="20"/>
    </w:rPr>
  </w:style>
  <w:style w:type="character" w:styleId="Contents1">
    <w:name w:val="Contents 1"/>
    <w:link w:val="Style_65"/>
    <w:qFormat/>
    <w:rPr>
      <w:rFonts w:ascii="XO Thames" w:hAnsi="XO Thames"/>
      <w:b/>
      <w:sz w:val="28"/>
    </w:rPr>
  </w:style>
  <w:style w:type="character" w:styleId="HeaderandFooter">
    <w:name w:val="Header and Footer"/>
    <w:link w:val="Style_66"/>
    <w:qFormat/>
    <w:rPr>
      <w:rFonts w:ascii="XO Thames" w:hAnsi="XO Thames"/>
      <w:sz w:val="20"/>
    </w:rPr>
  </w:style>
  <w:style w:type="character" w:styleId="Xl68">
    <w:name w:val="xl68"/>
    <w:basedOn w:val="Standard"/>
    <w:link w:val="Style_67"/>
    <w:qFormat/>
    <w:rPr>
      <w:color w:val="000000"/>
    </w:rPr>
  </w:style>
  <w:style w:type="character" w:styleId="WWAbsatzStandardschriftart11111">
    <w:name w:val="WW-Absatz-Standardschriftart11111"/>
    <w:link w:val="Style_68"/>
    <w:qFormat/>
    <w:rPr/>
  </w:style>
  <w:style w:type="character" w:styleId="Xl69">
    <w:name w:val="xl69"/>
    <w:basedOn w:val="Standard"/>
    <w:link w:val="Style_69"/>
    <w:qFormat/>
    <w:rPr>
      <w:color w:val="000000"/>
    </w:rPr>
  </w:style>
  <w:style w:type="character" w:styleId="ConsPlusNormal">
    <w:name w:val="ConsPlusNormal"/>
    <w:link w:val="Style_70"/>
    <w:qFormat/>
    <w:rPr>
      <w:sz w:val="28"/>
    </w:rPr>
  </w:style>
  <w:style w:type="character" w:styleId="22">
    <w:name w:val="Основной шрифт абзаца2"/>
    <w:link w:val="Style_71"/>
    <w:qFormat/>
    <w:rPr/>
  </w:style>
  <w:style w:type="character" w:styleId="Contents9">
    <w:name w:val="Contents 9"/>
    <w:link w:val="Style_72"/>
    <w:qFormat/>
    <w:rPr>
      <w:rFonts w:ascii="XO Thames" w:hAnsi="XO Thames"/>
      <w:sz w:val="28"/>
    </w:rPr>
  </w:style>
  <w:style w:type="character" w:styleId="Xl75">
    <w:name w:val="xl75"/>
    <w:basedOn w:val="Standard"/>
    <w:link w:val="Style_73"/>
    <w:qFormat/>
    <w:rPr>
      <w:i/>
      <w:color w:val="000000"/>
    </w:rPr>
  </w:style>
  <w:style w:type="character" w:styleId="WWAbsatzStandardschriftart">
    <w:name w:val="WW-Absatz-Standardschriftart"/>
    <w:link w:val="Style_74"/>
    <w:qFormat/>
    <w:rPr/>
  </w:style>
  <w:style w:type="character" w:styleId="23">
    <w:name w:val="Название2"/>
    <w:basedOn w:val="Standard"/>
    <w:link w:val="Style_75"/>
    <w:qFormat/>
    <w:rPr>
      <w:rFonts w:ascii="Arial" w:hAnsi="Arial"/>
      <w:i/>
      <w:sz w:val="20"/>
    </w:rPr>
  </w:style>
  <w:style w:type="character" w:styleId="WWAbsatzStandardschriftart111">
    <w:name w:val="WW-Absatz-Standardschriftart111"/>
    <w:link w:val="Style_76"/>
    <w:qFormat/>
    <w:rPr/>
  </w:style>
  <w:style w:type="character" w:styleId="Xl67">
    <w:name w:val="xl67"/>
    <w:basedOn w:val="Standard"/>
    <w:link w:val="Style_77"/>
    <w:qFormat/>
    <w:rPr>
      <w:b/>
      <w:color w:val="000000"/>
    </w:rPr>
  </w:style>
  <w:style w:type="character" w:styleId="Contents8">
    <w:name w:val="Contents 8"/>
    <w:link w:val="Style_78"/>
    <w:qFormat/>
    <w:rPr>
      <w:rFonts w:ascii="XO Thames" w:hAnsi="XO Thames"/>
      <w:sz w:val="28"/>
    </w:rPr>
  </w:style>
  <w:style w:type="character" w:styleId="ConsNonformat">
    <w:name w:val="ConsNonformat"/>
    <w:link w:val="Style_79"/>
    <w:qFormat/>
    <w:rPr>
      <w:rFonts w:ascii="Courier New" w:hAnsi="Courier New"/>
    </w:rPr>
  </w:style>
  <w:style w:type="character" w:styleId="NoSpacing">
    <w:name w:val="No Spacing"/>
    <w:link w:val="Style_2"/>
    <w:qFormat/>
    <w:rPr>
      <w:rFonts w:ascii="Calibri" w:hAnsi="Calibri"/>
      <w:color w:val="00000A"/>
      <w:sz w:val="24"/>
    </w:rPr>
  </w:style>
  <w:style w:type="character" w:styleId="Xl77">
    <w:name w:val="xl77"/>
    <w:basedOn w:val="Standard"/>
    <w:link w:val="Style_80"/>
    <w:qFormat/>
    <w:rPr>
      <w:i/>
      <w:color w:val="000000"/>
    </w:rPr>
  </w:style>
  <w:style w:type="character" w:styleId="WWAbsatzStandardschriftart111111111">
    <w:name w:val="WW-Absatz-Standardschriftart111111111"/>
    <w:link w:val="Style_81"/>
    <w:qFormat/>
    <w:rPr/>
  </w:style>
  <w:style w:type="character" w:styleId="WWAbsatzStandardschriftart11">
    <w:name w:val="WW-Absatz-Standardschriftart11"/>
    <w:link w:val="Style_82"/>
    <w:qFormat/>
    <w:rPr/>
  </w:style>
  <w:style w:type="character" w:styleId="13">
    <w:name w:val="Гиперссылка1"/>
    <w:link w:val="Style_83"/>
    <w:qFormat/>
    <w:rPr>
      <w:color w:val="0000FF"/>
      <w:u w:val="single"/>
    </w:rPr>
  </w:style>
  <w:style w:type="character" w:styleId="Xl64">
    <w:name w:val="xl64"/>
    <w:basedOn w:val="Standard"/>
    <w:link w:val="Style_84"/>
    <w:qFormat/>
    <w:rPr>
      <w:sz w:val="16"/>
    </w:rPr>
  </w:style>
  <w:style w:type="character" w:styleId="Contents5">
    <w:name w:val="Contents 5"/>
    <w:link w:val="Style_85"/>
    <w:qFormat/>
    <w:rPr>
      <w:rFonts w:ascii="XO Thames" w:hAnsi="XO Thames"/>
      <w:sz w:val="28"/>
    </w:rPr>
  </w:style>
  <w:style w:type="character" w:styleId="Style17">
    <w:name w:val="Содержимое таблицы"/>
    <w:basedOn w:val="Standard"/>
    <w:link w:val="Style_37"/>
    <w:qFormat/>
    <w:rPr/>
  </w:style>
  <w:style w:type="character" w:styleId="AbsatzStandardschriftart">
    <w:name w:val="Absatz-Standardschriftart"/>
    <w:link w:val="Style_86"/>
    <w:qFormat/>
    <w:rPr/>
  </w:style>
  <w:style w:type="character" w:styleId="14">
    <w:name w:val="Название1"/>
    <w:basedOn w:val="Standard"/>
    <w:link w:val="Style_87"/>
    <w:qFormat/>
    <w:rPr>
      <w:rFonts w:ascii="Arial" w:hAnsi="Arial"/>
      <w:i/>
      <w:sz w:val="20"/>
    </w:rPr>
  </w:style>
  <w:style w:type="character" w:styleId="Xl81">
    <w:name w:val="xl81"/>
    <w:basedOn w:val="Standard"/>
    <w:link w:val="Style_88"/>
    <w:qFormat/>
    <w:rPr>
      <w:b/>
      <w:color w:val="000000"/>
    </w:rPr>
  </w:style>
  <w:style w:type="character" w:styleId="Style18">
    <w:name w:val="Заголовок"/>
    <w:basedOn w:val="Standard"/>
    <w:link w:val="Style_89"/>
    <w:qFormat/>
    <w:rPr>
      <w:rFonts w:ascii="Arial" w:hAnsi="Arial"/>
      <w:sz w:val="28"/>
    </w:rPr>
  </w:style>
  <w:style w:type="character" w:styleId="List">
    <w:name w:val="List"/>
    <w:basedOn w:val="Textbody"/>
    <w:link w:val="Style_90"/>
    <w:qFormat/>
    <w:rPr>
      <w:rFonts w:ascii="Arial" w:hAnsi="Arial"/>
      <w:sz w:val="24"/>
    </w:rPr>
  </w:style>
  <w:style w:type="character" w:styleId="Subtitle">
    <w:name w:val="Subtitle"/>
    <w:link w:val="Style_91"/>
    <w:qFormat/>
    <w:rPr>
      <w:rFonts w:ascii="XO Thames" w:hAnsi="XO Thames"/>
      <w:i/>
      <w:sz w:val="24"/>
    </w:rPr>
  </w:style>
  <w:style w:type="character" w:styleId="Title">
    <w:name w:val="Title"/>
    <w:basedOn w:val="Standard"/>
    <w:link w:val="Style_92"/>
    <w:qFormat/>
    <w:rPr>
      <w:sz w:val="28"/>
    </w:rPr>
  </w:style>
  <w:style w:type="character" w:styleId="Heading4">
    <w:name w:val="Heading 4"/>
    <w:basedOn w:val="Standard"/>
    <w:link w:val="Style_93"/>
    <w:qFormat/>
    <w:rPr>
      <w:sz w:val="28"/>
    </w:rPr>
  </w:style>
  <w:style w:type="character" w:styleId="Xl70">
    <w:name w:val="xl70"/>
    <w:basedOn w:val="Standard"/>
    <w:link w:val="Style_94"/>
    <w:qFormat/>
    <w:rPr>
      <w:color w:val="000000"/>
    </w:rPr>
  </w:style>
  <w:style w:type="character" w:styleId="ConsPlusNonformat">
    <w:name w:val="ConsPlusNonformat"/>
    <w:link w:val="Style_95"/>
    <w:qFormat/>
    <w:rPr>
      <w:rFonts w:ascii="Courier New" w:hAnsi="Courier New"/>
    </w:rPr>
  </w:style>
  <w:style w:type="character" w:styleId="Heading2">
    <w:name w:val="Heading 2"/>
    <w:link w:val="Style_96"/>
    <w:qFormat/>
    <w:rPr>
      <w:rFonts w:ascii="XO Thames" w:hAnsi="XO Thames"/>
      <w:b/>
      <w:sz w:val="28"/>
    </w:rPr>
  </w:style>
  <w:style w:type="character" w:styleId="24">
    <w:name w:val="Указатель2"/>
    <w:basedOn w:val="Standard"/>
    <w:link w:val="Style_97"/>
    <w:qFormat/>
    <w:rPr>
      <w:rFonts w:ascii="Arial" w:hAnsi="Arial"/>
    </w:rPr>
  </w:style>
  <w:style w:type="character" w:styleId="WWAbsatzStandardschriftart1">
    <w:name w:val="WW-Absatz-Standardschriftart1"/>
    <w:link w:val="Style_98"/>
    <w:qFormat/>
    <w:rPr/>
  </w:style>
  <w:style w:type="character" w:styleId="ListLabel5">
    <w:name w:val="ListLabel 5"/>
    <w:qFormat/>
    <w:rPr>
      <w:b/>
      <w:sz w:val="24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b/>
      <w:sz w:val="24"/>
    </w:rPr>
  </w:style>
  <w:style w:type="character" w:styleId="ListLabel8">
    <w:name w:val="ListLabel 8"/>
    <w:qFormat/>
    <w:rPr>
      <w:b/>
      <w:sz w:val="24"/>
    </w:rPr>
  </w:style>
  <w:style w:type="paragraph" w:styleId="Style19">
    <w:name w:val="Заголовок"/>
    <w:basedOn w:val="Normal"/>
    <w:next w:val="Style20"/>
    <w:link w:val="Style_89_ch"/>
    <w:qFormat/>
    <w:pPr>
      <w:keepNext/>
      <w:spacing w:before="240" w:after="120"/>
    </w:pPr>
    <w:rPr>
      <w:rFonts w:ascii="Arial" w:hAnsi="Arial"/>
      <w:sz w:val="28"/>
    </w:rPr>
  </w:style>
  <w:style w:type="paragraph" w:styleId="Style20">
    <w:name w:val="Body Text"/>
    <w:basedOn w:val="Normal"/>
    <w:link w:val="Style_50_ch"/>
    <w:pPr>
      <w:ind w:left="0" w:right="5755" w:hanging="0"/>
      <w:jc w:val="both"/>
    </w:pPr>
    <w:rPr>
      <w:sz w:val="28"/>
    </w:rPr>
  </w:style>
  <w:style w:type="paragraph" w:styleId="Style21">
    <w:name w:val="List"/>
    <w:basedOn w:val="Style20"/>
    <w:link w:val="Style_90_ch"/>
    <w:pPr>
      <w:spacing w:before="0" w:after="120"/>
      <w:ind w:left="0" w:right="0" w:hanging="0"/>
      <w:jc w:val="left"/>
    </w:pPr>
    <w:rPr>
      <w:rFonts w:ascii="Arial" w:hAnsi="Arial"/>
      <w:sz w:val="24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Footer"/>
    <w:basedOn w:val="Normal"/>
    <w:link w:val="Style_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Endnotereference1">
    <w:name w:val="endnote reference"/>
    <w:link w:val="Style_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15">
    <w:name w:val="Основной шрифт абзаца1"/>
    <w:link w:val="Style_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5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Xl651">
    <w:name w:val="xl65"/>
    <w:basedOn w:val="Normal"/>
    <w:link w:val="Style_8_ch"/>
    <w:qFormat/>
    <w:pPr>
      <w:spacing w:beforeAutospacing="1" w:afterAutospacing="1"/>
    </w:pPr>
    <w:rPr>
      <w:rFonts w:ascii="Arial CYR" w:hAnsi="Arial CYR"/>
      <w:sz w:val="16"/>
    </w:rPr>
  </w:style>
  <w:style w:type="paragraph" w:styleId="WW8Num1z01">
    <w:name w:val="WW8Num1z0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5">
    <w:name w:val="Символ нумерации"/>
    <w:link w:val="Style_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11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Xl761">
    <w:name w:val="xl76"/>
    <w:basedOn w:val="Normal"/>
    <w:link w:val="Style_12_ch"/>
    <w:qFormat/>
    <w:pPr>
      <w:spacing w:beforeAutospacing="1" w:afterAutospacing="1"/>
      <w:jc w:val="center"/>
    </w:pPr>
    <w:rPr>
      <w:i/>
      <w:color w:val="000000"/>
    </w:rPr>
  </w:style>
  <w:style w:type="paragraph" w:styleId="011">
    <w:name w:val="Стиль Пункт_№) + Черный После:  0 пт1"/>
    <w:basedOn w:val="Style27"/>
    <w:link w:val="Style_13_ch"/>
    <w:qFormat/>
    <w:pPr>
      <w:spacing w:before="0" w:after="0"/>
    </w:pPr>
    <w:rPr>
      <w:color w:val="000000"/>
    </w:rPr>
  </w:style>
  <w:style w:type="paragraph" w:styleId="BodyText21">
    <w:name w:val="Body Text 2"/>
    <w:basedOn w:val="Normal"/>
    <w:link w:val="Style_15_ch"/>
    <w:qFormat/>
    <w:pPr>
      <w:spacing w:lineRule="auto" w:line="480" w:before="0" w:after="120"/>
    </w:pPr>
    <w:rPr/>
  </w:style>
  <w:style w:type="paragraph" w:styleId="6">
    <w:name w:val="TOC 6"/>
    <w:basedOn w:val="Normal"/>
    <w:link w:val="Style_16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26">
    <w:name w:val="Текст абазаца"/>
    <w:basedOn w:val="Normal"/>
    <w:link w:val="Style_18_ch"/>
    <w:qFormat/>
    <w:pPr>
      <w:keepLines/>
      <w:ind w:left="0" w:right="0" w:firstLine="709"/>
      <w:jc w:val="both"/>
    </w:pPr>
    <w:rPr>
      <w:sz w:val="28"/>
    </w:rPr>
  </w:style>
  <w:style w:type="paragraph" w:styleId="Xl821">
    <w:name w:val="xl82"/>
    <w:basedOn w:val="Normal"/>
    <w:link w:val="Style_19_ch"/>
    <w:qFormat/>
    <w:pPr>
      <w:spacing w:beforeAutospacing="1" w:afterAutospacing="1"/>
      <w:jc w:val="center"/>
    </w:pPr>
    <w:rPr>
      <w:b/>
      <w:color w:val="000000"/>
    </w:rPr>
  </w:style>
  <w:style w:type="paragraph" w:styleId="WWAbsatzStandardschriftart1111112">
    <w:name w:val="WW-Absatz-Standardschriftart111111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2">
    <w:name w:val="WW-Absatz-Standardschriftart1111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7">
    <w:name w:val="Пункт_№)"/>
    <w:basedOn w:val="Normal"/>
    <w:link w:val="Style_14_ch"/>
    <w:qFormat/>
    <w:pPr>
      <w:keepLines/>
      <w:tabs>
        <w:tab w:val="left" w:pos="1134" w:leader="none"/>
      </w:tabs>
      <w:spacing w:before="0" w:after="60"/>
      <w:ind w:left="0" w:right="0" w:firstLine="709"/>
      <w:jc w:val="both"/>
    </w:pPr>
    <w:rPr>
      <w:sz w:val="28"/>
    </w:rPr>
  </w:style>
  <w:style w:type="paragraph" w:styleId="Footnotereference1">
    <w:name w:val="footnote reference"/>
    <w:link w:val="Style_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Style28">
    <w:name w:val="Статья"/>
    <w:basedOn w:val="Normal"/>
    <w:link w:val="Style_24_ch"/>
    <w:qFormat/>
    <w:pPr>
      <w:keepNext/>
      <w:keepLines/>
      <w:widowControl w:val="false"/>
      <w:spacing w:before="240" w:after="60"/>
      <w:ind w:left="0" w:right="0" w:firstLine="709"/>
      <w:jc w:val="both"/>
    </w:pPr>
    <w:rPr>
      <w:color w:val="000000"/>
      <w:sz w:val="28"/>
    </w:rPr>
  </w:style>
  <w:style w:type="paragraph" w:styleId="WWAbsatzStandardschriftart1111111111112">
    <w:name w:val="WW-Absatz-Standardschriftart111111111111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link w:val="Style_26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FollowedHyperlink1">
    <w:name w:val="FollowedHyperlink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954F72"/>
      <w:spacing w:val="0"/>
      <w:sz w:val="24"/>
      <w:szCs w:val="20"/>
      <w:u w:val="single"/>
      <w:lang w:val="ru-RU" w:eastAsia="zh-CN" w:bidi="hi-IN"/>
    </w:rPr>
  </w:style>
  <w:style w:type="paragraph" w:styleId="Style29">
    <w:name w:val="Абазц_№"/>
    <w:basedOn w:val="Normal"/>
    <w:link w:val="Style_28_ch"/>
    <w:qFormat/>
    <w:pPr>
      <w:keepLines/>
      <w:spacing w:before="0" w:after="60"/>
      <w:jc w:val="both"/>
    </w:pPr>
    <w:rPr>
      <w:sz w:val="28"/>
    </w:rPr>
  </w:style>
  <w:style w:type="paragraph" w:styleId="ConsTitle1">
    <w:name w:val="ConsTitle"/>
    <w:link w:val="Style_29_ch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pacing w:val="0"/>
      <w:sz w:val="16"/>
      <w:szCs w:val="20"/>
      <w:lang w:val="ru-RU" w:eastAsia="zh-CN" w:bidi="hi-IN"/>
    </w:rPr>
  </w:style>
  <w:style w:type="paragraph" w:styleId="Xl781">
    <w:name w:val="xl78"/>
    <w:basedOn w:val="Normal"/>
    <w:link w:val="Style_30_ch"/>
    <w:qFormat/>
    <w:pPr>
      <w:spacing w:beforeAutospacing="1" w:afterAutospacing="1"/>
      <w:jc w:val="both"/>
    </w:pPr>
    <w:rPr>
      <w:i/>
      <w:color w:val="000000"/>
    </w:rPr>
  </w:style>
  <w:style w:type="paragraph" w:styleId="WWAbsatzStandardschriftart111111111112">
    <w:name w:val="WW-Absatz-Standardschriftart11111111111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0">
    <w:name w:val="Body Text Indent"/>
    <w:basedOn w:val="Normal"/>
    <w:link w:val="Style_33_ch"/>
    <w:pPr>
      <w:spacing w:before="0" w:after="120"/>
      <w:ind w:left="283" w:right="0" w:hanging="0"/>
    </w:pPr>
    <w:rPr/>
  </w:style>
  <w:style w:type="paragraph" w:styleId="BalloonText1">
    <w:name w:val="Balloon Text"/>
    <w:basedOn w:val="Normal"/>
    <w:link w:val="Style_34_ch"/>
    <w:qFormat/>
    <w:pPr/>
    <w:rPr>
      <w:rFonts w:ascii="Tahoma" w:hAnsi="Tahoma"/>
      <w:sz w:val="16"/>
    </w:rPr>
  </w:style>
  <w:style w:type="paragraph" w:styleId="WWAbsatzStandardschriftart11111111111112">
    <w:name w:val="WW-Absatz-Standardschriftart1111111111111"/>
    <w:link w:val="Style_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1">
    <w:name w:val="Содержимое таблицы"/>
    <w:basedOn w:val="Normal"/>
    <w:link w:val="Style_37_ch"/>
    <w:qFormat/>
    <w:pPr/>
    <w:rPr/>
  </w:style>
  <w:style w:type="paragraph" w:styleId="Style32">
    <w:name w:val="Заголовок таблицы"/>
    <w:basedOn w:val="Style31"/>
    <w:link w:val="Style_36_ch"/>
    <w:qFormat/>
    <w:pPr>
      <w:jc w:val="center"/>
    </w:pPr>
    <w:rPr>
      <w:b/>
    </w:rPr>
  </w:style>
  <w:style w:type="paragraph" w:styleId="Xl631">
    <w:name w:val="xl63"/>
    <w:basedOn w:val="Normal"/>
    <w:link w:val="Style_38_ch"/>
    <w:qFormat/>
    <w:pPr>
      <w:spacing w:beforeAutospacing="1" w:afterAutospacing="1"/>
    </w:pPr>
    <w:rPr>
      <w:sz w:val="16"/>
    </w:rPr>
  </w:style>
  <w:style w:type="paragraph" w:styleId="Xl741">
    <w:name w:val="xl74"/>
    <w:basedOn w:val="Normal"/>
    <w:link w:val="Style_39_ch"/>
    <w:qFormat/>
    <w:pPr>
      <w:spacing w:beforeAutospacing="1" w:afterAutospacing="1"/>
      <w:jc w:val="center"/>
    </w:pPr>
    <w:rPr/>
  </w:style>
  <w:style w:type="paragraph" w:styleId="Xl661">
    <w:name w:val="xl66"/>
    <w:basedOn w:val="Normal"/>
    <w:link w:val="Style_40_ch"/>
    <w:qFormat/>
    <w:pPr>
      <w:spacing w:beforeAutospacing="1" w:afterAutospacing="1"/>
      <w:jc w:val="both"/>
    </w:pPr>
    <w:rPr>
      <w:b/>
      <w:color w:val="000000"/>
    </w:rPr>
  </w:style>
  <w:style w:type="paragraph" w:styleId="Xl731">
    <w:name w:val="xl73"/>
    <w:basedOn w:val="Normal"/>
    <w:link w:val="Style_41_ch"/>
    <w:qFormat/>
    <w:pPr>
      <w:spacing w:beforeAutospacing="1" w:afterAutospacing="1"/>
      <w:jc w:val="center"/>
    </w:pPr>
    <w:rPr>
      <w:b/>
      <w:color w:val="000000"/>
    </w:rPr>
  </w:style>
  <w:style w:type="paragraph" w:styleId="Xl791">
    <w:name w:val="xl79"/>
    <w:basedOn w:val="Normal"/>
    <w:link w:val="Style_42_ch"/>
    <w:qFormat/>
    <w:pPr>
      <w:spacing w:beforeAutospacing="1" w:afterAutospacing="1"/>
      <w:jc w:val="right"/>
    </w:pPr>
    <w:rPr>
      <w:i/>
      <w:color w:val="000000"/>
    </w:rPr>
  </w:style>
  <w:style w:type="paragraph" w:styleId="Xl721">
    <w:name w:val="xl72"/>
    <w:basedOn w:val="Normal"/>
    <w:link w:val="Style_43_ch"/>
    <w:qFormat/>
    <w:pPr>
      <w:spacing w:beforeAutospacing="1" w:afterAutospacing="1"/>
      <w:jc w:val="center"/>
    </w:pPr>
    <w:rPr>
      <w:b/>
      <w:color w:val="000000"/>
    </w:rPr>
  </w:style>
  <w:style w:type="paragraph" w:styleId="31">
    <w:name w:val="TOC 3"/>
    <w:basedOn w:val="Normal"/>
    <w:link w:val="Style_44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16">
    <w:name w:val="Указатель1"/>
    <w:basedOn w:val="Normal"/>
    <w:link w:val="Style_45_ch"/>
    <w:qFormat/>
    <w:pPr/>
    <w:rPr>
      <w:rFonts w:ascii="Arial" w:hAnsi="Arial"/>
    </w:rPr>
  </w:style>
  <w:style w:type="paragraph" w:styleId="DefaultParagraphFont1">
    <w:name w:val="Default Paragraph Font"/>
    <w:link w:val="Style_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3">
    <w:name w:val="Абазц_№ Знак"/>
    <w:basedOn w:val="Normal"/>
    <w:link w:val="Style_47_ch"/>
    <w:qFormat/>
    <w:pPr>
      <w:keepLines/>
      <w:jc w:val="both"/>
    </w:pPr>
    <w:rPr>
      <w:color w:val="000000"/>
      <w:sz w:val="28"/>
    </w:rPr>
  </w:style>
  <w:style w:type="paragraph" w:styleId="WWAbsatzStandardschriftart111111111111111">
    <w:name w:val="WW-Absatz-Standardschriftart11111111111111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Pagenumber1">
    <w:name w:val="page number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4">
    <w:name w:val="Header"/>
    <w:basedOn w:val="Normal"/>
    <w:link w:val="Style_5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2">
    <w:name w:val="WW-Absatz-Standardschriftart11111111"/>
    <w:link w:val="Style_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02">
    <w:name w:val="Стиль Пункт_№) + Черный После:  0 пт"/>
    <w:basedOn w:val="Style27"/>
    <w:link w:val="Style_53_ch"/>
    <w:qFormat/>
    <w:pPr>
      <w:spacing w:before="0" w:after="0"/>
    </w:pPr>
    <w:rPr>
      <w:color w:val="000000"/>
    </w:rPr>
  </w:style>
  <w:style w:type="paragraph" w:styleId="DocumentMap1">
    <w:name w:val="Document Map"/>
    <w:basedOn w:val="Normal"/>
    <w:link w:val="Style_55_ch"/>
    <w:qFormat/>
    <w:pPr>
      <w:spacing w:lineRule="auto" w:line="276" w:before="0" w:after="200"/>
    </w:pPr>
    <w:rPr>
      <w:rFonts w:ascii="Tahoma" w:hAnsi="Tahoma"/>
      <w:sz w:val="20"/>
    </w:rPr>
  </w:style>
  <w:style w:type="paragraph" w:styleId="WWAbsatzStandardschriftart11111112">
    <w:name w:val="WW-Absatz-Standardschriftart1111111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711">
    <w:name w:val="xl71"/>
    <w:basedOn w:val="Normal"/>
    <w:link w:val="Style_58_ch"/>
    <w:qFormat/>
    <w:pPr>
      <w:spacing w:beforeAutospacing="1" w:afterAutospacing="1"/>
      <w:jc w:val="both"/>
    </w:pPr>
    <w:rPr>
      <w:color w:val="000000"/>
    </w:rPr>
  </w:style>
  <w:style w:type="paragraph" w:styleId="Xl801">
    <w:name w:val="xl80"/>
    <w:basedOn w:val="Normal"/>
    <w:link w:val="Style_60_ch"/>
    <w:qFormat/>
    <w:pPr>
      <w:spacing w:beforeAutospacing="1" w:afterAutospacing="1"/>
      <w:jc w:val="both"/>
    </w:pPr>
    <w:rPr>
      <w:color w:val="000000"/>
    </w:rPr>
  </w:style>
  <w:style w:type="paragraph" w:styleId="211">
    <w:name w:val="Основной текст с отступом 21"/>
    <w:basedOn w:val="Normal"/>
    <w:link w:val="Style_61_ch"/>
    <w:qFormat/>
    <w:pPr>
      <w:spacing w:lineRule="auto" w:line="480" w:before="0" w:after="120"/>
      <w:ind w:left="283" w:right="0" w:hanging="0"/>
    </w:pPr>
    <w:rPr/>
  </w:style>
  <w:style w:type="paragraph" w:styleId="Endnotetext1">
    <w:name w:val="endnote text"/>
    <w:basedOn w:val="Normal"/>
    <w:link w:val="Style_62_ch"/>
    <w:qFormat/>
    <w:pPr/>
    <w:rPr>
      <w:sz w:val="20"/>
    </w:rPr>
  </w:style>
  <w:style w:type="paragraph" w:styleId="Internetlink">
    <w:name w:val="Internet link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64_ch"/>
    <w:qFormat/>
    <w:pPr/>
    <w:rPr>
      <w:sz w:val="20"/>
    </w:rPr>
  </w:style>
  <w:style w:type="paragraph" w:styleId="17">
    <w:name w:val="TOC 1"/>
    <w:basedOn w:val="Normal"/>
    <w:link w:val="Style_65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66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Xl681">
    <w:name w:val="xl68"/>
    <w:basedOn w:val="Normal"/>
    <w:link w:val="Style_67_ch"/>
    <w:qFormat/>
    <w:pPr>
      <w:spacing w:beforeAutospacing="1" w:afterAutospacing="1"/>
      <w:jc w:val="both"/>
    </w:pPr>
    <w:rPr>
      <w:color w:val="000000"/>
    </w:rPr>
  </w:style>
  <w:style w:type="paragraph" w:styleId="WWAbsatzStandardschriftart111112">
    <w:name w:val="WW-Absatz-Standardschriftart11111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691">
    <w:name w:val="xl69"/>
    <w:basedOn w:val="Normal"/>
    <w:link w:val="Style_69_ch"/>
    <w:qFormat/>
    <w:pPr>
      <w:spacing w:beforeAutospacing="1" w:afterAutospacing="1"/>
      <w:jc w:val="center"/>
    </w:pPr>
    <w:rPr>
      <w:color w:val="000000"/>
    </w:rPr>
  </w:style>
  <w:style w:type="paragraph" w:styleId="ConsPlusNormal1">
    <w:name w:val="ConsPlusNormal"/>
    <w:link w:val="Style_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26">
    <w:name w:val="Основной шрифт абзаца2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9">
    <w:name w:val="TOC 9"/>
    <w:basedOn w:val="Normal"/>
    <w:link w:val="Style_72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Xl751">
    <w:name w:val="xl75"/>
    <w:basedOn w:val="Normal"/>
    <w:link w:val="Style_73_ch"/>
    <w:qFormat/>
    <w:pPr>
      <w:spacing w:beforeAutospacing="1" w:afterAutospacing="1"/>
      <w:jc w:val="both"/>
    </w:pPr>
    <w:rPr>
      <w:i/>
      <w:color w:val="000000"/>
    </w:rPr>
  </w:style>
  <w:style w:type="paragraph" w:styleId="WWAbsatzStandardschriftart2">
    <w:name w:val="WW-Absatz-Standardschriftart"/>
    <w:link w:val="Style_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7">
    <w:name w:val="Название2"/>
    <w:basedOn w:val="Normal"/>
    <w:link w:val="Style_75_ch"/>
    <w:qFormat/>
    <w:pPr>
      <w:spacing w:before="120" w:after="120"/>
    </w:pPr>
    <w:rPr>
      <w:rFonts w:ascii="Arial" w:hAnsi="Arial"/>
      <w:i/>
      <w:sz w:val="20"/>
    </w:rPr>
  </w:style>
  <w:style w:type="paragraph" w:styleId="WWAbsatzStandardschriftart1112">
    <w:name w:val="WW-Absatz-Standardschriftart111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671">
    <w:name w:val="xl67"/>
    <w:basedOn w:val="Normal"/>
    <w:link w:val="Style_77_ch"/>
    <w:qFormat/>
    <w:pPr>
      <w:spacing w:beforeAutospacing="1" w:afterAutospacing="1"/>
      <w:jc w:val="right"/>
    </w:pPr>
    <w:rPr>
      <w:b/>
      <w:color w:val="000000"/>
    </w:rPr>
  </w:style>
  <w:style w:type="paragraph" w:styleId="8">
    <w:name w:val="TOC 8"/>
    <w:basedOn w:val="Normal"/>
    <w:link w:val="Style_78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ConsNonformat1">
    <w:name w:val="ConsNonformat"/>
    <w:link w:val="Style_79_ch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NoSpacing1">
    <w:name w:val="No Spacing"/>
    <w:link w:val="Style_2_ch"/>
    <w:qFormat/>
    <w:pPr>
      <w:widowControl/>
      <w:bidi w:val="0"/>
      <w:jc w:val="left"/>
    </w:pPr>
    <w:rPr>
      <w:rFonts w:ascii="Calibri" w:hAnsi="Calibri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Xl771">
    <w:name w:val="xl77"/>
    <w:basedOn w:val="Normal"/>
    <w:link w:val="Style_80_ch"/>
    <w:qFormat/>
    <w:pPr>
      <w:spacing w:beforeAutospacing="1" w:afterAutospacing="1"/>
      <w:jc w:val="right"/>
    </w:pPr>
    <w:rPr>
      <w:i/>
      <w:color w:val="000000"/>
    </w:rPr>
  </w:style>
  <w:style w:type="paragraph" w:styleId="WWAbsatzStandardschriftart1111111112">
    <w:name w:val="WW-Absatz-Standardschriftart111111111"/>
    <w:link w:val="Style_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2">
    <w:name w:val="WW-Absatz-Standardschriftart11"/>
    <w:link w:val="Style_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8">
    <w:name w:val="Гиперссылка1"/>
    <w:link w:val="Style_83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Xl641">
    <w:name w:val="xl64"/>
    <w:basedOn w:val="Normal"/>
    <w:link w:val="Style_84_ch"/>
    <w:qFormat/>
    <w:pPr>
      <w:spacing w:beforeAutospacing="1" w:afterAutospacing="1"/>
      <w:jc w:val="right"/>
    </w:pPr>
    <w:rPr>
      <w:sz w:val="16"/>
    </w:rPr>
  </w:style>
  <w:style w:type="paragraph" w:styleId="51">
    <w:name w:val="TOC 5"/>
    <w:basedOn w:val="Normal"/>
    <w:link w:val="Style_8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AbsatzStandardschriftart1">
    <w:name w:val="Absatz-Standardschriftart"/>
    <w:link w:val="Style_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9">
    <w:name w:val="Название1"/>
    <w:basedOn w:val="Normal"/>
    <w:link w:val="Style_87_ch"/>
    <w:qFormat/>
    <w:pPr>
      <w:spacing w:before="120" w:after="120"/>
    </w:pPr>
    <w:rPr>
      <w:rFonts w:ascii="Arial" w:hAnsi="Arial"/>
      <w:i/>
      <w:sz w:val="20"/>
    </w:rPr>
  </w:style>
  <w:style w:type="paragraph" w:styleId="Xl811">
    <w:name w:val="xl81"/>
    <w:basedOn w:val="Normal"/>
    <w:link w:val="Style_88_ch"/>
    <w:qFormat/>
    <w:pPr>
      <w:spacing w:beforeAutospacing="1" w:afterAutospacing="1"/>
      <w:jc w:val="both"/>
    </w:pPr>
    <w:rPr>
      <w:b/>
      <w:color w:val="000000"/>
    </w:rPr>
  </w:style>
  <w:style w:type="paragraph" w:styleId="Style35">
    <w:name w:val="Subtitle"/>
    <w:basedOn w:val="Normal"/>
    <w:link w:val="Style_91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36">
    <w:name w:val="Title"/>
    <w:basedOn w:val="Normal"/>
    <w:link w:val="Style_92_ch"/>
    <w:uiPriority w:val="10"/>
    <w:qFormat/>
    <w:pPr>
      <w:jc w:val="center"/>
    </w:pPr>
    <w:rPr>
      <w:sz w:val="28"/>
    </w:rPr>
  </w:style>
  <w:style w:type="paragraph" w:styleId="Xl701">
    <w:name w:val="xl70"/>
    <w:basedOn w:val="Normal"/>
    <w:link w:val="Style_94_ch"/>
    <w:qFormat/>
    <w:pPr>
      <w:spacing w:beforeAutospacing="1" w:afterAutospacing="1"/>
      <w:jc w:val="right"/>
    </w:pPr>
    <w:rPr>
      <w:color w:val="000000"/>
    </w:rPr>
  </w:style>
  <w:style w:type="paragraph" w:styleId="ConsPlusNonformat1">
    <w:name w:val="ConsPlusNonformat"/>
    <w:link w:val="Style_95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8">
    <w:name w:val="Указатель2"/>
    <w:basedOn w:val="Normal"/>
    <w:link w:val="Style_97_ch"/>
    <w:qFormat/>
    <w:pPr/>
    <w:rPr>
      <w:rFonts w:ascii="Arial" w:hAnsi="Arial"/>
    </w:rPr>
  </w:style>
  <w:style w:type="paragraph" w:styleId="WWAbsatzStandardschriftart12">
    <w:name w:val="WW-Absatz-Standardschriftart1"/>
    <w:link w:val="Style_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7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estern">
    <w:name w:val="western"/>
    <w:basedOn w:val="Normal"/>
    <w:qFormat/>
    <w:pPr>
      <w:spacing w:lineRule="auto" w:line="240" w:beforeAutospacing="1" w:after="0"/>
    </w:pPr>
    <w:rPr>
      <w:i/>
      <w:sz w:val="26"/>
    </w:rPr>
  </w:style>
  <w:style w:type="paragraph" w:styleId="PlainText">
    <w:name w:val="Plain Text"/>
    <w:basedOn w:val="Normal"/>
    <w:qFormat/>
    <w:pPr>
      <w:ind w:left="0" w:right="0" w:hanging="0"/>
    </w:pPr>
    <w:rPr>
      <w:rFonts w:ascii="Courier New" w:hAnsi="Courier New"/>
      <w:sz w:val="20"/>
    </w:rPr>
  </w:style>
  <w:style w:type="paragraph" w:styleId="Style38">
    <w:name w:val="Термин"/>
    <w:basedOn w:val="PlainText"/>
    <w:qFormat/>
    <w:pPr>
      <w:ind w:left="567" w:right="0" w:hanging="0"/>
      <w:jc w:val="both"/>
    </w:pPr>
    <w:rPr>
      <w:rFonts w:ascii="Times New Roman" w:hAnsi="Times New Roman"/>
      <w:sz w:val="26"/>
    </w:rPr>
  </w:style>
  <w:style w:type="paragraph" w:styleId="Style141">
    <w:name w:val="Style14"/>
    <w:basedOn w:val="Normal"/>
    <w:qFormat/>
    <w:pPr>
      <w:widowControl w:val="false"/>
      <w:spacing w:lineRule="exact" w:line="344"/>
      <w:ind w:left="0" w:right="0" w:firstLine="581"/>
      <w:jc w:val="both"/>
    </w:pPr>
    <w:rPr/>
  </w:style>
  <w:style w:type="paragraph" w:styleId="Standard1">
    <w:name w:val="Standard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table" w:default="1" w:styleId="Style_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99">
    <w:name w:val="Сетка таблицы6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0">
    <w:name w:val="Сетка таблицы4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1">
    <w:name w:val="Table Grid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2">
    <w:name w:val="Сетка таблицы3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3">
    <w:name w:val="Сетка таблицы5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4">
    <w:name w:val="Сетка таблицы11"/>
    <w:basedOn w:val="Style_3"/>
    <w:rPr>
      <w:sz w:val="28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5">
    <w:name w:val="Сетка таблицы1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6">
    <w:name w:val="Сетка таблицы2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38398@yandex.ru" TargetMode="External"/><Relationship Id="rId3" Type="http://schemas.openxmlformats.org/officeDocument/2006/relationships/hyperlink" Target="mailto:sp38398@yandex.ru" TargetMode="External"/><Relationship Id="rId4" Type="http://schemas.openxmlformats.org/officeDocument/2006/relationships/hyperlink" Target="https://torgi.gov.ru/" TargetMode="External"/><Relationship Id="rId5" Type="http://schemas.openxmlformats.org/officeDocument/2006/relationships/hyperlink" Target="https://kovylkinskoe-sp.ru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LibreOffice/5.3.3.2$Windows_X86_64 LibreOffice_project/3d9a8b4b4e538a85e0782bd6c2d430bafe583448</Application>
  <Pages>14</Pages>
  <Words>4705</Words>
  <Characters>35093</Characters>
  <CharactersWithSpaces>40823</CharactersWithSpaces>
  <Paragraphs>325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2025-05-22T16:24:09Z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