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drawing>
          <wp:anchor behindDoc="0" distT="0" distB="0" distL="90170" distR="90170" simplePos="0" locked="0" layoutInCell="1" allowOverlap="1" relativeHeight="3">
            <wp:simplePos x="0" y="0"/>
            <wp:positionH relativeFrom="page">
              <wp:posOffset>3474720</wp:posOffset>
            </wp:positionH>
            <wp:positionV relativeFrom="paragraph">
              <wp:posOffset>635</wp:posOffset>
            </wp:positionV>
            <wp:extent cx="767080" cy="674370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Собрание депутатов Ковылкинского сельского поселения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Тацинский район, Ростовская область</w:t>
      </w:r>
    </w:p>
    <w:p>
      <w:pPr>
        <w:pStyle w:val="Normal"/>
        <w:rPr>
          <w:i/>
          <w:i/>
          <w:i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17D5158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3430" cy="1905"/>
                <wp:effectExtent l="17145" t="20955" r="17145" b="1714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880" cy="144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7.65pt" to="464.4pt,7.7pt" ID="Line 2" stroked="t" style="position:absolute" wp14:anchorId="117D5158">
                <v:stroke color="black" weight="28440" joinstyle="round" endcap="flat"/>
                <v:fill o:detectmouseclick="t" on="false"/>
              </v:line>
            </w:pict>
          </mc:Fallback>
        </mc:AlternateContent>
      </w:r>
      <w:r>
        <w:rPr>
          <w:i/>
          <w:iCs/>
        </w:rPr>
        <w:tab/>
        <w:tab/>
        <w:tab/>
        <w:tab/>
        <w:tab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</w:t>
      </w:r>
      <w:r>
        <w:rPr>
          <w:b/>
          <w:bCs/>
          <w:i/>
          <w:iCs/>
          <w:sz w:val="28"/>
          <w:szCs w:val="28"/>
        </w:rPr>
        <w:t xml:space="preserve">Решение                                      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30 мая  2008 года                           №  106  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  <w:tab/>
        <w:t xml:space="preserve">         х. Ковылкин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О принятии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создания,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содержания, охраны и учета зеленых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насаждений на территории </w:t>
      </w:r>
    </w:p>
    <w:p>
      <w:pPr>
        <w:pStyle w:val="Normal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sz w:val="28"/>
          <w:szCs w:val="28"/>
        </w:rPr>
        <w:t>Ковылкинского сельского поселения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сохранения и развития зеленого фонда поселения, улучшения экологической ситуации в Ковылкинском сельском поселении, руководствуясь статьей 16 Федерального закона от 06.10.2003 N 131-ФЗ "Об общих принципах организации местного самоуправления в Российской Федерации", статьями 7, 10, 61, 77, 78 Федерального закона от 10.01.2002 N 7-ФЗ "Об охране окружающей среды",  Собрание депутатов Ковылкинского сельского поселения 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Принять "Правила создания, содержания, охраны и учета зеленых насаждений на территории Ковылкинского сельского поселения" (приложение).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Администрации поселения: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разработать и утвердить Регламент производства работ на объектах озеленения Ковылкинского сельского поселения;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привести нормативные акты в соответствие с настоящим решением;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 за  исполнение настоящего решения возложить на председателя постоянной комиссии по сельскому хозяйству, промышленности и экологии Тенякову Светлану Михайловну.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Ковылкинского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Т.В.Лачугина</w:t>
      </w:r>
    </w:p>
    <w:p>
      <w:pPr>
        <w:pStyle w:val="ConsPlusNormal"/>
        <w:widowControl/>
        <w:ind w:firstLine="540"/>
        <w:jc w:val="center"/>
        <w:rPr/>
      </w:pPr>
      <w:r>
        <w:rPr/>
      </w:r>
    </w:p>
    <w:p>
      <w:pPr>
        <w:pStyle w:val="ConsPlusNormal"/>
        <w:widowControl/>
        <w:ind w:firstLine="540"/>
        <w:jc w:val="center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2047"/>
        </w:sectPr>
        <w:pStyle w:val="ConsPlusNormal"/>
        <w:widowControl/>
        <w:ind w:firstLine="540"/>
        <w:jc w:val="center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6521" w:hanging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  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решению</w:t>
      </w:r>
    </w:p>
    <w:p>
      <w:pPr>
        <w:pStyle w:val="ConsPlusNormal"/>
        <w:widowControl/>
        <w:ind w:left="6521" w:hanging="8222"/>
        <w:rPr/>
      </w:pPr>
      <w:r>
        <w:rPr>
          <w:rFonts w:cs="Times New Roman" w:ascii="Times New Roman" w:hAnsi="Times New Roman"/>
          <w:sz w:val="28"/>
          <w:szCs w:val="28"/>
        </w:rPr>
        <w:tab/>
        <w:t>Собрания депутатов</w:t>
      </w:r>
    </w:p>
    <w:p>
      <w:pPr>
        <w:pStyle w:val="ConsPlusNormal"/>
        <w:widowControl/>
        <w:ind w:left="6521" w:hanging="8222"/>
        <w:rPr/>
      </w:pPr>
      <w:r>
        <w:rPr>
          <w:rFonts w:cs="Times New Roman" w:ascii="Times New Roman" w:hAnsi="Times New Roman"/>
          <w:sz w:val="28"/>
          <w:szCs w:val="28"/>
        </w:rPr>
        <w:tab/>
        <w:t>Ковылкинского сельского поселения от 30.05.2008 г №106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ПРАВИЛА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СОЗДАНИЯ, СОДЕРЖАНИЯ, ОХРАНЫ И УЧЕТА ЗЕЛЕНЫХ НАСАЖДЕНИЙ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ТЕРРИТОРИИ КОВЫЛКИНСКОГО СЕЛЬСКОГО ПОСЕЛЕНИЯ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Правила создания, содержания, охраны и учета зеленых насаждений на территории  Ковылкинского сельского поселения (далее - Правила) разработаны на основе   Федеральных законов "Об общих принципах организации местного самоуправления в Российской Федерации", «Об охране окружающей среды», «Земельного Кодекса», «Кодекса об административных правонарушениях», «Гражданского кодекса» и др. нормативных актов.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Настоящие Правила регулируют отношения, возникающие в сфере создания, содержания, охраны, учета и сноса зеленых насаждений на земельных участках, расположенных на территории Ковылкинского сельского поселения (далее по тексту - зеленые насаждения  поселения).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 Настоящие правила устанавливают общий порядок выполнения основных санитарных требований в отношении зеленых насаждений поселения, для сохранения биологической устойчивости зеленых насаждений и предупреждения их повреждений гражданами и юридическими лицами.    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2. Основные положения</w:t>
      </w:r>
    </w:p>
    <w:p>
      <w:pPr>
        <w:pStyle w:val="ConsPlusNormal"/>
        <w:widowControl/>
        <w:numPr>
          <w:ilvl w:val="0"/>
          <w:numId w:val="0"/>
        </w:numPr>
        <w:ind w:hanging="0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ab/>
        <w:t>Зеленые насаждения, расположенные на землях поселения предназначены для отдыха населения, а также для сохранения благоприятной экологической обстановки.</w:t>
      </w:r>
    </w:p>
    <w:p>
      <w:pPr>
        <w:pStyle w:val="ConsPlusNormal"/>
        <w:widowControl/>
        <w:numPr>
          <w:ilvl w:val="0"/>
          <w:numId w:val="0"/>
        </w:numPr>
        <w:ind w:firstLine="705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2.1. Все зеленые насаждения на землях поселения образуют неприкосновенный зеленый</w:t>
      </w:r>
    </w:p>
    <w:p>
      <w:pPr>
        <w:pStyle w:val="ConsPlusNormal"/>
        <w:widowControl/>
        <w:numPr>
          <w:ilvl w:val="0"/>
          <w:numId w:val="0"/>
        </w:numPr>
        <w:ind w:hanging="0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фонд.</w:t>
      </w:r>
    </w:p>
    <w:p>
      <w:pPr>
        <w:pStyle w:val="ConsPlusNormal"/>
        <w:widowControl/>
        <w:numPr>
          <w:ilvl w:val="1"/>
          <w:numId w:val="1"/>
        </w:numPr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В соответствие с Земельным кодексом РФ, Лесным кодексом РФ, Областным законом                                   «О лесах в Ростовской области» и Законом РФ «Об охране окружающей среды», землепользователи обязаны:</w:t>
      </w:r>
    </w:p>
    <w:p>
      <w:pPr>
        <w:pStyle w:val="ConsPlusNormal"/>
        <w:widowControl/>
        <w:numPr>
          <w:ilvl w:val="0"/>
          <w:numId w:val="0"/>
        </w:numPr>
        <w:ind w:left="705" w:hanging="0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1)     осуществлять надзор за санитарным состоянием зеленых насаждений;</w:t>
      </w:r>
    </w:p>
    <w:p>
      <w:pPr>
        <w:pStyle w:val="ConsPlusNormal"/>
        <w:widowControl/>
        <w:numPr>
          <w:ilvl w:val="0"/>
          <w:numId w:val="0"/>
        </w:numPr>
        <w:ind w:firstLine="705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2)   выполнять санитарно-оздоровительные и иные лесозащитные мероприятия с учетом                           особенностей структуры и использования зеленых насаждений;</w:t>
      </w:r>
    </w:p>
    <w:p>
      <w:pPr>
        <w:pStyle w:val="ConsPlusNormal"/>
        <w:widowControl/>
        <w:numPr>
          <w:ilvl w:val="0"/>
          <w:numId w:val="0"/>
        </w:numPr>
        <w:ind w:left="708" w:hanging="0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3)     проводить эффективные меры по повышению плодородия почв;</w:t>
      </w:r>
    </w:p>
    <w:p>
      <w:pPr>
        <w:pStyle w:val="ConsPlusNormal"/>
        <w:widowControl/>
        <w:numPr>
          <w:ilvl w:val="0"/>
          <w:numId w:val="0"/>
        </w:numPr>
        <w:ind w:firstLine="708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4)     осуществлять комплекс организационно- хозяйственных, агротехнических мероприятий;</w:t>
      </w:r>
    </w:p>
    <w:p>
      <w:pPr>
        <w:pStyle w:val="ConsPlusNormal"/>
        <w:widowControl/>
        <w:numPr>
          <w:ilvl w:val="0"/>
          <w:numId w:val="0"/>
        </w:numPr>
        <w:ind w:firstLine="708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5)     не допускать загрязнения земель химическими и радиоактивными веществами, а также их зарастание сорной карантинной растительностью.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2.3..    Проектные, строительные и другие организации, осуществляющие промышленное или иное строительство должны:</w:t>
      </w:r>
    </w:p>
    <w:p>
      <w:pPr>
        <w:pStyle w:val="ConsPlusNormal"/>
        <w:widowControl/>
        <w:numPr>
          <w:ilvl w:val="0"/>
          <w:numId w:val="0"/>
        </w:numPr>
        <w:ind w:firstLine="708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1)      восстанавливать и повышать за свой счет плодородие почв и другие полезные свойства земли, а также зеленые насаждения, поврежденные при производстве строительных работ, после окончания строительства;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2)    возместить ущерб, причиненный окружающей среде, согласно «Таксам на возмещение ущерба за снос и повреждение зеленых насаждений в населенных пунктах Ростовской области».</w:t>
      </w:r>
    </w:p>
    <w:p>
      <w:pPr>
        <w:pStyle w:val="ConsPlusNormal"/>
        <w:widowControl/>
        <w:numPr>
          <w:ilvl w:val="0"/>
          <w:numId w:val="0"/>
        </w:numPr>
        <w:ind w:firstLine="708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3)      обеспечить ликвидацию последствия загрязнения земель существующих промышленных предприятий и их санитарно-защитных зон путем рекультивации верхнего плодородного слоя почвы;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4)       обеспечить полную сохранность и квалифицированный уход за существующими зелеными насаждениями;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5)      в течение года вести постоянное наблюдение и своевременную борьбу с вредителями и болезнями зеленых насаждений и сорной карантинной растительностью;</w:t>
      </w:r>
    </w:p>
    <w:p>
      <w:pPr>
        <w:pStyle w:val="ConsPlusNormal"/>
        <w:widowControl/>
        <w:numPr>
          <w:ilvl w:val="0"/>
          <w:numId w:val="0"/>
        </w:numPr>
        <w:ind w:firstLine="708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6)     своевременно производить вырезку сухих и поломанных сучьев, лечение ран, удаление плодовых тел грибов, пломбирование дупел и т.д.  </w:t>
        <w:tab/>
        <w:tab/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3.  Права и обязанности населения по охране и использованию зеленого фонда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     Граждане имеют право: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1) получать достоверную информацию о состоянии , мерах охраны и перспективах развития зеленых насаждении поселения;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2)  участвовать в обсуждении проектов зеленого строительства, а также  в  разработке альтернативных проектов;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3) создавать общественные движения в защиту зеленого фонда;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4) обращаться с письмами и заявлениями по вопросам охраны и содержания зеленых насаждений;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5) принимать участие в мероприятиях по озеленению населенных пунктов, санитарной уборке озелененных территорий;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6) требовать привлечения к ответственности должностных лиц и граждан, допустивших нарушения режима охраны зеленых насаждений. Органы местного самоуправления учитывают предложения и рекомендации граждан и их общественных объединений.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  Гражданам запрещается: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1) повреждать или уничтожать зеленые насаждения;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2) ходить и лежать на газонах, ходить по участкам, занятыми зелеными насаждениями, ездить на велосипедах, лошадях вне специально оборудованных дорог и тропинок;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3) разжигать костры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4) ловить и уничтожать птиц, разорять птичьи гнезда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5) добывать из деревьев сок, делать надрезы, надписи, приклеивать к 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6) производить другие действия, способные нанести вред зеленым насаждениям.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4. Требования по содержанию зеленых насаждений</w:t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4.1.   Граждане и юридические лица обязаны: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1) снос (пересадку) зеленых насаждений оформлять в порядке,  установленном разделом 5 настоящих Правил;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2) проводить омолаживающую обрезку деревьев, а формовочную и санитарную обрезку древесно-кустарниковой растительности – по согласованию с администрацией поселения;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3) не допускать загрязнения территорий, занятых зелеными насаждениями, бытовыми и промышленными отходами, сточными водами;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4) проводить санитарную уборку территории, удаление поломанных деревьев и кустарников.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5. Порядок сноса (пересадки) зеленых насаждений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 Снос зеленых насаждений  поселения может быть разрешен в следующих случаях: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обеспечения условий для размещения объектов строительства, предусмотренных утвержденной и согласованной документацией;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  ликвидации чрезвычайных и аварийных ситуаций;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 в процессе их содержания, в том числе связанного со сносом аварийных зеленых насаждений;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  реконструкции зеленых насаждений;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   посадки зеленых насаждений с нарушением установленных норм и правил.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Снос зеленых насаждений, совершенный без предварительного оформления разрешительных документов, является незаконным, кроме случаев, предусмотренных в части 2 настоящей статьи.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 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коммуникаций- снос указанных насаждений производится без предварительного оформления разрешений.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5.3.  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5.4.  По факту каждого  случая аварийного сноса составляется акт, направляемый в Администрацию поселения для решения о признании факта сноса вынужденным или незаконным.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5.5.     Разрешения на снос деревьев, растущих ближе 5 метров от зданий и сооружений, вызывающих повышенное затенение помещений, выдаются Администрацией поселения по заявлениям пользователей, собственников жилого фонда. Оплата расходов на снос зеленых насаждений и утилизация растительных остатков производится пользователем (эксплуатационным предприятием) , собственником жилого фонда.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6. Порядок производства строительных работ в зоне зеленых насаждений</w:t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>6.1.   При проведении различных работ, связанных с устройством или ремонтом подземных коммуникаций, запрещается:</w:t>
      </w:r>
    </w:p>
    <w:p>
      <w:pPr>
        <w:pStyle w:val="ConsPlusNormal"/>
        <w:widowControl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1)   заваливание землей или строительными материалами зеленых насаждений (газонов, деревьев, кустарников);</w:t>
      </w:r>
    </w:p>
    <w:p>
      <w:pPr>
        <w:pStyle w:val="ConsPlusNormal"/>
        <w:widowControl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2)   вырубка деревьев, кустарников и обнажение их корней без разрешения Администрации поселения.</w:t>
      </w:r>
    </w:p>
    <w:p>
      <w:pPr>
        <w:pStyle w:val="ConsPlusNormal"/>
        <w:widowControl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>6.2.   В случае невозможности сохранения зеленых насаждений на участках, отводимых под строительство или производство других работ,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насаждений, которые подлежат уничтожению в установленном порядке.</w:t>
      </w:r>
    </w:p>
    <w:p>
      <w:pPr>
        <w:pStyle w:val="ConsPlusNormal"/>
        <w:widowControl/>
        <w:ind w:firstLine="540"/>
        <w:rPr/>
      </w:pPr>
      <w:r>
        <w:rPr>
          <w:rFonts w:cs="Times New Roman" w:ascii="Times New Roman" w:hAnsi="Times New Roman"/>
          <w:sz w:val="28"/>
          <w:szCs w:val="28"/>
        </w:rPr>
        <w:t>6.3.   При обрезке деревьев и кустарников запрещается складировать ветки на проезжей части улицы, тротуаре и газоне. Все обрезанные ветки должны быть вывезены в места, определенные органами коммунального хозяйства не позднее двух дней со дня окончания работ.</w:t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7.  Уничтожение карантинных растений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7.1. Юридические и физические лица, учебные заведения, учреждения независимо от ведомственной подчиненности, а также владельцы индивидуальных домовладений и земельных участков обязаны в летний период очищать закрепленные и прилегающие территории от сорной и карантинной растительности. 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7.2.   Вырубку и покос карантинной растительности на прилегающей территории необходимо проводить до ее цветения и созревания семян.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Учет зеленого фонда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8.1.   Установление статуса, границ озелененных территорий производится в ходе инвентаризации земель.</w:t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8.2.   Полная инвентаризация зеленого фонда поселения производится один раз в 10 лет.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left="141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9.Финансирование расходов на охрану и содержание зеленых насаждений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9.1.   Расходы на охрану и содержание зеленых насаждений ежегодно в обязательном порядке учитываются при формировании бюджета поселения.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10. Контроль за созданием, содержанием,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охраной и учетом зеленых насаждений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10.1. Задачей контроля за созданием, содержанием, охраной и учетом зеленых насаждений является соблюдение  гражданами и должностными лицами требований настоящих Правил, в том числе: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 недопущение самовольной вырубки деревьев и кустарников;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соблюдения требований по оформлению разрешительной документации на снос зеленых насаждений;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выполнения требований по уходу за зелеными насаждениями, благоустройству и санитарной уборке озелененных территорий;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10.2.   Муниципальный контроль в области охраны и содержания зеленых насаждений осуществляется органами Администрации поселения в соответствии с законодательством Российской Федерации.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10.3.  Должностные лица, осуществляющие контроль, имеют право: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посещать организации независимо от форм собственности и организационно-правовых форм, на территории которых расположены зеленые насаждения  с целью проверки содержания и охраны зеленых насаждений;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в рамках своих полномочий требовать и получать у физических и юридических лиц для ознакомления проектные материалы на проведение хозяйственной и иной деятельности, наносящей ущерб зеленому фонду города, а также разрешения на снос зеленых насаждений;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составлять протоколы об административных правонарушениях и направлять материалы в органы государственной власти, административные комиссии для рассмотрения и привлечения лиц, виновных в нарушении настоящих Правил, к ответственности.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center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11. Ответственность за нарушение настоящих Правил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11.1. Ответственность за нарушение настоящих Правил устанавливается в соответствии с действующим законодательством.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11.2.  В случае выявления фактов нарушений Правил уполномоченные органы местного самоуправления и их должностные лица вправе: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         выдавать предписание об устранении нарушений;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         составить протокол об административном правонарушении в порядке, установленном действующим законодательством;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         обратиться в суд с заявлением (исковым заявлением) о признании не законными действий (бездействия) физических и (или) юридических лиц, нарушающих правила, и о возмещении ущерба.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11.3.   Лица, допустившие нарушения настоящих Правил, несут ответственность в соответствии с Областным законом «Об административных правонарушениях».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pBdr>
          <w:top w:val="single" w:sz="6" w:space="0" w:color="00000A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ind w:hanging="0"/>
        <w:jc w:val="both"/>
        <w:rPr/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lvl w:ilvl="0">
      <w:start w:val="8"/>
      <w:numFmt w:val="decimal"/>
      <w:lvlText w:val="%1.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f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f40f1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LibreOffice/5.3.3.2$Windows_X86_64 LibreOffice_project/3d9a8b4b4e538a85e0782bd6c2d430bafe583448</Application>
  <Pages>7</Pages>
  <Words>1525</Words>
  <Characters>11002</Characters>
  <CharactersWithSpaces>13010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2021-10-04T13:15:00Z</dcterms:created>
  <dc:creator>COMP3</dc:creator>
  <dc:description/>
  <dc:language>ru-RU</dc:language>
  <cp:lastModifiedBy/>
  <dcterms:modified xsi:type="dcterms:W3CDTF">2021-10-05T09:14:02Z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