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</w:rPr>
      </w:pPr>
      <w:r>
        <w:rPr>
          <w:b/>
          <w:bCs/>
        </w:rPr>
        <w:t>ПРОЕКТ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___ марта  2022г                                № ____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7035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5"/>
      </w:tblGrid>
      <w:tr>
        <w:trPr/>
        <w:tc>
          <w:tcPr>
            <w:tcW w:w="7035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/>
                <w:color w:val="212121"/>
                <w:sz w:val="28"/>
                <w:szCs w:val="28"/>
              </w:rPr>
              <w:t xml:space="preserve">Об утверждении «Программы профилактики рисков 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212121"/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</w:t>
            </w:r>
            <w:r>
              <w:rPr>
                <w:b/>
                <w:sz w:val="28"/>
                <w:szCs w:val="28"/>
              </w:rPr>
              <w:t xml:space="preserve">контроля </w:t>
            </w:r>
            <w:r>
              <w:rPr>
                <w:rFonts w:eastAsia="Calibri" w:cs="Times New Roman"/>
                <w:b/>
                <w:bCs w:val="false"/>
                <w:sz w:val="28"/>
                <w:szCs w:val="28"/>
                <w:lang w:eastAsia="en-US"/>
              </w:rPr>
              <w:t>в сфере благоустройства на 2022 год»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fill="FFFFFF" w:val="clear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Ковылкинского сельского поселения </w:t>
      </w:r>
      <w:r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.2021 №</w:t>
      </w:r>
      <w:r>
        <w:rPr>
          <w:color w:val="000000"/>
          <w:sz w:val="28"/>
          <w:szCs w:val="28"/>
        </w:rPr>
        <w:t>16</w:t>
      </w:r>
      <w:r>
        <w:rPr>
          <w:color w:val="212121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Ковылкинского  сельского поселения»,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Style17"/>
        <w:keepNext/>
        <w:bidi w:val="0"/>
        <w:spacing w:before="0" w:after="142"/>
        <w:ind w:firstLine="567"/>
        <w:contextualSpacing/>
        <w:jc w:val="both"/>
        <w:rPr/>
      </w:pPr>
      <w:r>
        <w:rPr>
          <w:color w:val="000000"/>
          <w:sz w:val="28"/>
          <w:szCs w:val="28"/>
        </w:rPr>
        <w:t>1.Утвердить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>
        <w:rPr>
          <w:rFonts w:eastAsia="Calibri" w:cs="Calibri"/>
          <w:sz w:val="28"/>
          <w:szCs w:val="28"/>
          <w:lang w:eastAsia="ru-RU"/>
        </w:rPr>
        <w:t>Ковылкинского сельского поселения</w:t>
      </w:r>
      <w:r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>
      <w:pPr>
        <w:pStyle w:val="Style17"/>
        <w:ind w:firstLine="567"/>
        <w:jc w:val="both"/>
        <w:rPr/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>
      <w:pPr>
        <w:pStyle w:val="Style17"/>
        <w:suppressAutoHyphens w:val="true"/>
        <w:spacing w:lineRule="atLeast" w:line="216" w:before="0"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sectPr>
          <w:type w:val="nextPage"/>
          <w:pgSz w:w="11906" w:h="16838"/>
          <w:pgMar w:left="147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ind w:firstLine="5669"/>
        <w:jc w:val="right"/>
        <w:rPr/>
      </w:pPr>
      <w:r>
        <w:rPr>
          <w:color w:val="212121"/>
        </w:rPr>
        <w:t>Приложение</w:t>
      </w:r>
    </w:p>
    <w:p>
      <w:pPr>
        <w:pStyle w:val="Normal"/>
        <w:ind w:firstLine="5669"/>
        <w:jc w:val="right"/>
        <w:rPr/>
      </w:pPr>
      <w:r>
        <w:rPr>
          <w:color w:val="212121"/>
        </w:rPr>
        <w:t>к постановлению Администрации</w:t>
      </w:r>
    </w:p>
    <w:p>
      <w:pPr>
        <w:pStyle w:val="Normal"/>
        <w:ind w:firstLine="5669"/>
        <w:jc w:val="right"/>
        <w:rPr/>
      </w:pPr>
      <w:r>
        <w:rPr>
          <w:sz w:val="22"/>
        </w:rPr>
        <w:t>Ковылкинского сельского поселения</w:t>
      </w:r>
    </w:p>
    <w:p>
      <w:pPr>
        <w:pStyle w:val="Normal"/>
        <w:ind w:firstLine="5669"/>
        <w:jc w:val="right"/>
        <w:rPr/>
      </w:pPr>
      <w:bookmarkStart w:id="0" w:name="__DdeLink__865_367786085"/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___ марта  2022 г</w:t>
      </w:r>
      <w:r>
        <w:rPr>
          <w:color w:val="FF0000"/>
          <w:sz w:val="24"/>
          <w:szCs w:val="24"/>
        </w:rPr>
        <w:t xml:space="preserve"> </w:t>
      </w:r>
      <w:bookmarkEnd w:id="0"/>
      <w:r>
        <w:rPr>
          <w:color w:val="FF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212121"/>
          <w:sz w:val="22"/>
        </w:rPr>
      </w:pPr>
      <w:r>
        <w:rPr>
          <w:color w:val="212121"/>
          <w:sz w:val="22"/>
        </w:rPr>
      </w:r>
    </w:p>
    <w:p>
      <w:pPr>
        <w:pStyle w:val="Normal"/>
        <w:jc w:val="center"/>
        <w:rPr/>
      </w:pPr>
      <w:bookmarkStart w:id="1" w:name="P28"/>
      <w:bookmarkEnd w:id="1"/>
      <w:r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>
      <w:pPr>
        <w:pStyle w:val="Normal"/>
        <w:jc w:val="center"/>
        <w:rPr>
          <w:b/>
          <w:b/>
          <w:color w:val="212121"/>
        </w:rPr>
      </w:pPr>
      <w:r>
        <w:rPr>
          <w:b/>
          <w:color w:val="212121"/>
        </w:rPr>
      </w:r>
    </w:p>
    <w:tbl>
      <w:tblPr>
        <w:tblW w:w="15098" w:type="dxa"/>
        <w:jc w:val="left"/>
        <w:tblInd w:w="-3" w:type="dxa"/>
        <w:tblBorders>
          <w:top w:val="single" w:sz="4" w:space="0" w:color="00000A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49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475"/>
        <w:gridCol w:w="4034"/>
        <w:gridCol w:w="10589"/>
      </w:tblGrid>
      <w:tr>
        <w:trPr/>
        <w:tc>
          <w:tcPr>
            <w:tcW w:w="47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9" w:type="dxa"/>
              <w:right w:w="57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lef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А</w:t>
            </w:r>
            <w:r>
              <w:rPr/>
              <w:t xml:space="preserve">нализ текущего состояния осуществления </w:t>
            </w:r>
            <w:r>
              <w:rPr>
                <w:color w:val="000000"/>
                <w:shd w:fill="FFFFFF" w:val="clear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9" w:type="dxa"/>
              <w:right w:w="5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1.1. Программа распространяет свое действие на осуществление муниципального контроля за соблюдением Правил благоустройства на территории Ковылкинского сельского поселения и муниципальных нормативных правовых актов, обязательных к применению при организации и проведении мероприятий в сфере благоустройства.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1.2. Уполномоченным органом по осуществлению муниципального контроля в сфере благоустройства является Администрация Ковылкинского сельского поселения. </w:t>
            </w:r>
          </w:p>
          <w:p>
            <w:pPr>
              <w:pStyle w:val="Normal"/>
              <w:jc w:val="both"/>
              <w:rPr/>
            </w:pPr>
            <w:r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>
            <w:pPr>
              <w:pStyle w:val="Normal"/>
              <w:ind w:firstLine="567"/>
              <w:jc w:val="both"/>
              <w:rPr/>
            </w:pPr>
            <w:r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Ковылкинского сельского поселения Тацинского муниципального района Ростовской области.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 xml:space="preserve">1.4. Муниципальный контроль в сфере благоустройства осуществляется в соответствии с: </w:t>
            </w:r>
          </w:p>
          <w:p>
            <w:pPr>
              <w:pStyle w:val="Normal"/>
              <w:jc w:val="both"/>
              <w:rPr/>
            </w:pPr>
            <w:r>
              <w:rPr/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pStyle w:val="Normal"/>
              <w:jc w:val="both"/>
              <w:rPr/>
            </w:pPr>
            <w:r>
              <w:rPr/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pStyle w:val="Normal"/>
              <w:jc w:val="both"/>
              <w:rPr/>
            </w:pPr>
            <w:r>
              <w:rPr/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pStyle w:val="Normal"/>
              <w:rPr/>
            </w:pPr>
            <w:r>
              <w:rPr/>
              <w:t>- Областным законом Ростовской области от 25 октября 2002 года N 273-ЗС «Об административных правонарушениях»;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Правилами благоустройства территории Ковылкинского сельского поселения, утвержденными решением Собрания депутатов Ковылкинского сельского поселения от </w:t>
            </w:r>
            <w:r>
              <w:rPr>
                <w:color w:val="000000"/>
                <w:sz w:val="24"/>
                <w:szCs w:val="24"/>
              </w:rPr>
              <w:t xml:space="preserve">№ от </w:t>
            </w:r>
            <w:r>
              <w:rPr>
                <w:color w:val="000000"/>
                <w:sz w:val="24"/>
                <w:szCs w:val="24"/>
              </w:rPr>
              <w:t>___ марта  2022 г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>1.5. Муниципальный  контроль за соблюдением правил благоустройства на территории муниципального образования «Ковылкинское сельское поселение» в 2021 году не  был предусмотрен и не проводился.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Ковылкинского сельского поселения размещены Правила благоустройства территории Ковылкинского сельского поселения. </w:t>
            </w:r>
          </w:p>
          <w:p>
            <w:pPr>
              <w:pStyle w:val="Normal"/>
              <w:spacing w:lineRule="atLeast" w:line="216"/>
              <w:jc w:val="both"/>
              <w:rPr/>
            </w:pPr>
            <w:r>
              <w:rPr>
                <w:color w:val="212121"/>
                <w:shd w:fill="FFFFFF" w:val="clear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9" w:type="dxa"/>
              <w:right w:w="57" w:type="dxa"/>
            </w:tcMar>
            <w:vAlign w:val="center"/>
          </w:tcPr>
          <w:p>
            <w:pPr>
              <w:pStyle w:val="Sdfootnote1"/>
              <w:spacing w:beforeAutospacing="0" w:before="0" w:after="0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 территории Ковылкинского сельского поселения осуществляется:</w:t>
            </w:r>
          </w:p>
          <w:p>
            <w:pPr>
              <w:pStyle w:val="Sdfootnote1"/>
              <w:spacing w:beforeAutospacing="0" w:before="0" w:after="0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Ковылкинского сельского поселения, посредством официального сайта, публикации в периодических изданиях, социальных сетей;</w:t>
            </w:r>
          </w:p>
          <w:p>
            <w:pPr>
              <w:pStyle w:val="Sdfootnote1"/>
              <w:spacing w:beforeAutospacing="0" w:before="0" w:after="0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Ковылкинского сельского поселения;</w:t>
            </w:r>
          </w:p>
          <w:p>
            <w:pPr>
              <w:pStyle w:val="Normal"/>
              <w:jc w:val="both"/>
              <w:rPr/>
            </w:pPr>
            <w:r>
              <w:rPr>
                <w:color w:val="212121"/>
                <w:sz w:val="26"/>
                <w:szCs w:val="26"/>
                <w:shd w:fill="FFFFFF" w:val="clear"/>
              </w:rPr>
              <w:t xml:space="preserve">- </w:t>
            </w:r>
            <w:r>
              <w:rPr>
                <w:color w:val="212121"/>
                <w:szCs w:val="26"/>
                <w:shd w:fill="FFFFFF" w:val="clear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9" w:type="dxa"/>
              <w:right w:w="57" w:type="dxa"/>
            </w:tcMar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Причинами нарушений обязательных требований в сфере благоустройства являются: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55" w:type="dxa"/>
              <w:left w:w="49" w:type="dxa"/>
              <w:right w:w="5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4.1. Стимулирование добросовестного соблюдения обязательных требований всеми контролируемыми лицами.</w:t>
            </w:r>
          </w:p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4.2.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4.3.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Cs w:val="26"/>
              </w:rPr>
              <w:t>4.4. Повышение результативности и эффективности контрольной деятельности в сфере благоустройства</w:t>
            </w:r>
          </w:p>
        </w:tc>
      </w:tr>
      <w:tr>
        <w:trPr/>
        <w:tc>
          <w:tcPr>
            <w:tcW w:w="47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Задачи реализации программы профилактики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55" w:type="dxa"/>
              <w:left w:w="49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zCs w:val="26"/>
              </w:rPr>
              <w:t>5.1. 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zCs w:val="26"/>
              </w:rPr>
              <w:t>5.2.Проведение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suppressLineNumbers/>
              <w:jc w:val="both"/>
              <w:rPr/>
            </w:pPr>
            <w:r>
              <w:rPr>
                <w:color w:val="000000"/>
                <w:szCs w:val="26"/>
              </w:rPr>
              <w:t>5.3.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Cs w:val="26"/>
              </w:rPr>
              <w:t xml:space="preserve">5.4. Обеспечение доступности информации об обязательных требованиях и необходимых мерах по их </w:t>
            </w:r>
            <w:r>
              <w:rPr>
                <w:color w:val="000000"/>
              </w:rPr>
              <w:t>исполнению.</w:t>
            </w:r>
          </w:p>
          <w:p>
            <w:pPr>
              <w:pStyle w:val="Normal"/>
              <w:spacing w:lineRule="atLeast" w:line="216"/>
              <w:jc w:val="both"/>
              <w:rPr/>
            </w:pPr>
            <w:r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tLeast" w:line="216"/>
        <w:jc w:val="center"/>
        <w:rPr/>
      </w:pPr>
      <w:r>
        <w:rPr>
          <w:b/>
          <w:bCs/>
          <w:color w:val="212121"/>
          <w:sz w:val="26"/>
          <w:szCs w:val="26"/>
        </w:rPr>
        <w:t>6. Перечень профилактических мероприятий,</w:t>
      </w:r>
    </w:p>
    <w:p>
      <w:pPr>
        <w:pStyle w:val="Normal"/>
        <w:spacing w:lineRule="atLeast" w:line="216"/>
        <w:jc w:val="center"/>
        <w:rPr/>
      </w:pPr>
      <w:r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>
      <w:pPr>
        <w:pStyle w:val="Normal"/>
        <w:jc w:val="right"/>
        <w:rPr>
          <w:color w:val="212121"/>
          <w:sz w:val="22"/>
        </w:rPr>
      </w:pPr>
      <w:r>
        <w:rPr/>
      </w:r>
    </w:p>
    <w:p>
      <w:pPr>
        <w:pStyle w:val="Normal"/>
        <w:spacing w:lineRule="atLeast" w:line="216"/>
        <w:jc w:val="right"/>
        <w:rPr/>
      </w:pPr>
      <w:r>
        <w:rPr>
          <w:color w:val="212121"/>
        </w:rPr>
        <w:t>Таблица</w:t>
      </w:r>
    </w:p>
    <w:tbl>
      <w:tblPr>
        <w:tblW w:w="1476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83"/>
        <w:gridCol w:w="9621"/>
        <w:gridCol w:w="2453"/>
        <w:gridCol w:w="2009"/>
      </w:tblGrid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>
        <w:trPr/>
        <w:tc>
          <w:tcPr>
            <w:tcW w:w="1476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>
        <w:trPr/>
        <w:tc>
          <w:tcPr>
            <w:tcW w:w="68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5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fill="FFFFFF" w:val="clear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fill="FFFFFF" w:val="clear"/>
              </w:rPr>
              <w:t>Не реже 2 раз в год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pacing w:val="2"/>
                <w:sz w:val="24"/>
                <w:szCs w:val="24"/>
                <w:shd w:fill="FFFFFF" w:val="clear"/>
              </w:rPr>
            </w:pPr>
            <w:r>
              <w:rPr>
                <w:spacing w:val="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pacing w:val="2"/>
                <w:highlight w:val="whit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fill="FFFFFF" w:val="clear"/>
              </w:rPr>
              <w:t>Не позднее 10 рабочих дней после их утверждения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fill="FFFFFF" w:val="clear"/>
              </w:rPr>
              <w:t>Не позднее 25 декабря предшествующего года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6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Консультирование</w:t>
            </w:r>
          </w:p>
        </w:tc>
      </w:tr>
      <w:tr>
        <w:trPr/>
        <w:tc>
          <w:tcPr>
            <w:tcW w:w="68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fill="FFFFFF" w:val="clear"/>
              </w:rPr>
              <w:t>К</w:t>
            </w:r>
            <w:r>
              <w:rPr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3)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4) 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5)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uppressLineNumber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устной форме (</w:t>
            </w:r>
            <w:r>
              <w:rPr>
                <w:sz w:val="24"/>
                <w:szCs w:val="24"/>
                <w:shd w:fill="FFFFFF" w:val="clear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 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tLeast" w:line="216"/>
        <w:jc w:val="right"/>
        <w:rPr>
          <w:color w:val="212121"/>
        </w:rPr>
      </w:pPr>
      <w:r>
        <w:rPr>
          <w:color w:val="212121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>
          <w:b/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</w:r>
    </w:p>
    <w:p>
      <w:pPr>
        <w:pStyle w:val="Normal"/>
        <w:spacing w:lineRule="atLeast" w:line="216"/>
        <w:jc w:val="center"/>
        <w:rPr/>
      </w:pPr>
      <w:r>
        <w:rPr>
          <w:b/>
          <w:color w:val="212121"/>
          <w:sz w:val="26"/>
          <w:szCs w:val="26"/>
        </w:rPr>
        <w:t>7. Показатели результативности и эффективности программы профилактики</w:t>
      </w:r>
    </w:p>
    <w:p>
      <w:pPr>
        <w:pStyle w:val="Normal"/>
        <w:spacing w:lineRule="atLeast" w:line="216"/>
        <w:jc w:val="center"/>
        <w:rPr/>
      </w:pPr>
      <w:r>
        <w:rPr>
          <w:b/>
          <w:color w:val="212121"/>
          <w:sz w:val="26"/>
          <w:szCs w:val="26"/>
        </w:rPr>
        <w:t>рисков причинения вреда (ущерба)</w:t>
      </w:r>
    </w:p>
    <w:p>
      <w:pPr>
        <w:pStyle w:val="Normal"/>
        <w:spacing w:lineRule="atLeast" w:line="216"/>
        <w:jc w:val="center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tbl>
      <w:tblPr>
        <w:tblW w:w="14590" w:type="dxa"/>
        <w:jc w:val="left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9"/>
        <w:gridCol w:w="11504"/>
        <w:gridCol w:w="2497"/>
      </w:tblGrid>
      <w:tr>
        <w:trPr>
          <w:trHeight w:val="576" w:hRule="exact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ind w:left="119" w:right="167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>
        <w:trPr>
          <w:trHeight w:val="576" w:hRule="exact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ind w:left="119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Общее количество проведенных профилактических мероприятий.</w:t>
            </w:r>
          </w:p>
          <w:p>
            <w:pPr>
              <w:pStyle w:val="Normal"/>
              <w:ind w:left="119" w:right="16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</w:tr>
      <w:tr>
        <w:trPr>
          <w:trHeight w:val="1069" w:hRule="exact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ind w:left="119" w:right="167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759" w:hRule="exact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ind w:left="119" w:right="167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>
        <w:trPr>
          <w:trHeight w:val="699" w:hRule="exact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spacing w:lineRule="exact" w:line="274"/>
              <w:ind w:left="119" w:right="16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/>
              <w:ind w:left="119" w:right="167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spacing w:lineRule="exact" w:line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699" w:hRule="exact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spacing w:lineRule="exact" w:line="274"/>
              <w:ind w:left="119" w:right="16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widowControl w:val="false"/>
              <w:spacing w:lineRule="exact" w:line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>
      <w:pPr>
        <w:pStyle w:val="Normal"/>
        <w:jc w:val="center"/>
        <w:rPr/>
      </w:pPr>
      <w:r>
        <w:rPr>
          <w:color w:val="212121"/>
          <w:sz w:val="26"/>
          <w:szCs w:val="26"/>
        </w:rPr>
        <w:t> 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>
          <w:rFonts w:eastAsia="0" w:cs="Arial"/>
          <w:color w:val="000000"/>
          <w:sz w:val="24"/>
          <w:szCs w:val="28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dfootnote1">
    <w:name w:val="sdfootnote1"/>
    <w:basedOn w:val="Normal"/>
    <w:qFormat/>
    <w:pPr>
      <w:suppressAutoHyphens w:val="false"/>
      <w:spacing w:beforeAutospacing="1" w:after="0"/>
      <w:ind w:left="340" w:hanging="340"/>
    </w:pPr>
    <w:rPr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LibreOffice/5.3.3.2$Windows_X86_64 LibreOffice_project/3d9a8b4b4e538a85e0782bd6c2d430bafe583448</Application>
  <Pages>6</Pages>
  <Words>1124</Words>
  <Characters>8914</Characters>
  <CharactersWithSpaces>10052</CharactersWithSpaces>
  <Paragraphs>118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2022-03-22T10:48:56Z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