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before="0" w:after="0"/>
        <w:jc w:val="center"/>
        <w:rPr>
          <w:rFonts w:ascii="Times New Roman" w:hAnsi="Times New Roman" w:cs="Times New Roman"/>
          <w:i w:val="false"/>
          <w:i w:val="false"/>
        </w:rPr>
      </w:pPr>
      <w:r>
        <w:rPr>
          <w:rFonts w:cs="Times New Roman" w:ascii="Times New Roman" w:hAnsi="Times New Roman"/>
          <w:i w:val="false"/>
        </w:rPr>
      </w:r>
    </w:p>
    <w:p>
      <w:pPr>
        <w:pStyle w:val="Normal"/>
        <w:keepNext/>
        <w:numPr>
          <w:ilvl w:val="0"/>
          <w:numId w:val="0"/>
        </w:numPr>
        <w:spacing w:lineRule="auto" w:line="240" w:before="0" w:after="0"/>
        <w:jc w:val="center"/>
        <w:outlineLvl w:val="1"/>
        <w:rPr>
          <w:b/>
          <w:b/>
          <w:bCs/>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b/>
          <w:b/>
          <w:bCs/>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b/>
          <w:b/>
          <w:bCs/>
        </w:rPr>
      </w:pPr>
      <w:r>
        <w:rPr>
          <w:rFonts w:ascii="Times New Roman" w:hAnsi="Times New Roman"/>
          <w:b/>
          <w:bCs/>
          <w:sz w:val="28"/>
          <w:szCs w:val="28"/>
        </w:rPr>
        <w:t>Тацинский район</w:t>
      </w:r>
    </w:p>
    <w:p>
      <w:pPr>
        <w:pStyle w:val="Normal"/>
        <w:spacing w:lineRule="auto" w:line="240" w:before="0" w:after="0"/>
        <w:jc w:val="center"/>
        <w:rPr>
          <w:b/>
          <w:b/>
          <w:bCs/>
        </w:rPr>
      </w:pPr>
      <w:r>
        <w:rPr>
          <w:rFonts w:eastAsia="Times New Roman" w:cs="Times New Roman" w:ascii="Times New Roman" w:hAnsi="Times New Roman"/>
          <w:b/>
          <w:bCs/>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i w:val="false"/>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2"/>
        <w:spacing w:before="0" w:after="0"/>
        <w:jc w:val="center"/>
        <w:rPr>
          <w:rFonts w:ascii="Times New Roman" w:hAnsi="Times New Roman" w:cs="Times New Roman"/>
          <w:i w:val="false"/>
          <w:i w:val="false"/>
          <w:iCs w:val="false"/>
        </w:rPr>
      </w:pPr>
      <w:r>
        <w:rPr>
          <w:rFonts w:cs="Times New Roman" w:ascii="Times New Roman" w:hAnsi="Times New Roman"/>
          <w:i w:val="false"/>
          <w:iCs w:val="false"/>
        </w:rPr>
      </w:r>
    </w:p>
    <w:p>
      <w:pPr>
        <w:pStyle w:val="2"/>
        <w:spacing w:before="0" w:after="0"/>
        <w:jc w:val="center"/>
        <w:rPr>
          <w:rFonts w:ascii="Times New Roman" w:hAnsi="Times New Roman" w:cs="Times New Roman"/>
          <w:i w:val="false"/>
          <w:i w:val="false"/>
          <w:iCs w:val="false"/>
        </w:rPr>
      </w:pPr>
      <w:r>
        <w:rPr>
          <w:rFonts w:cs="Times New Roman" w:ascii="Times New Roman" w:hAnsi="Times New Roman"/>
          <w:i w:val="false"/>
        </w:rPr>
        <w:t>ПОСТАНОВЛЕНИЕ</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2"/>
        <w:spacing w:before="0" w:after="0"/>
        <w:rPr/>
      </w:pPr>
      <w:r>
        <w:rPr>
          <w:rFonts w:cs="Times New Roman" w:ascii="Times New Roman" w:hAnsi="Times New Roman"/>
          <w:i w:val="false"/>
        </w:rPr>
        <w:t>07 ноября  2022 года                           № 110                                   х. Ковылкин</w:t>
      </w:r>
    </w:p>
    <w:p>
      <w:pPr>
        <w:pStyle w:val="Default"/>
        <w:rPr>
          <w:bCs/>
          <w:sz w:val="28"/>
          <w:szCs w:val="28"/>
        </w:rPr>
      </w:pPr>
      <w:r>
        <w:rPr>
          <w:bCs/>
          <w:sz w:val="28"/>
          <w:szCs w:val="28"/>
        </w:rPr>
      </w:r>
    </w:p>
    <w:p>
      <w:pPr>
        <w:pStyle w:val="Normal"/>
        <w:tabs>
          <w:tab w:val="left" w:pos="5103" w:leader="none"/>
          <w:tab w:val="left" w:pos="6521" w:leader="none"/>
          <w:tab w:val="left" w:pos="6663" w:leader="none"/>
        </w:tabs>
        <w:suppressAutoHyphens w:val="true"/>
        <w:spacing w:lineRule="auto" w:line="240" w:before="0" w:after="0"/>
        <w:ind w:right="3684"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End w:id="0"/>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3"/>
          <w:rFonts w:ascii="Times New Roman" w:hAnsi="Times New Roman"/>
          <w:color w:val="000000"/>
          <w:sz w:val="28"/>
          <w:szCs w:val="28"/>
        </w:rPr>
      </w:pPr>
      <w:r>
        <w:rPr>
          <w:rStyle w:val="Style13"/>
          <w:rFonts w:ascii="Times New Roman" w:hAnsi="Times New Roman"/>
          <w:color w:val="000000"/>
          <w:sz w:val="28"/>
          <w:szCs w:val="28"/>
        </w:rPr>
        <w:t>1. Утвердить прилагаемый Административный регламент предо</w:t>
      </w:r>
      <w:bookmarkStart w:id="1" w:name="_Hlk94093005"/>
      <w:r>
        <w:rPr>
          <w:rStyle w:val="Style13"/>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Перевод жилого помещения в нежилое помещение и нежилого помещения в жилое помещение</w:t>
      </w:r>
      <w:bookmarkEnd w:id="1"/>
      <w:r>
        <w:rPr>
          <w:rStyle w:val="Style13"/>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утратившими силу постановления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hyperlink r:id="rId2">
        <w:r>
          <w:rPr>
            <w:rStyle w:val="Style12"/>
            <w:rFonts w:ascii="Times New Roman" w:hAnsi="Times New Roman"/>
            <w:color w:val="00000A"/>
            <w:sz w:val="28"/>
            <w:szCs w:val="28"/>
            <w:highlight w:val="white"/>
            <w:u w:val="none"/>
          </w:rPr>
          <w:t>- от 02.12.2015 года №</w:t>
        </w:r>
      </w:hyperlink>
      <w:r>
        <w:rPr>
          <w:rFonts w:ascii="Times New Roman" w:hAnsi="Times New Roman"/>
          <w:color w:val="00000A"/>
          <w:sz w:val="28"/>
          <w:szCs w:val="28"/>
          <w:u w:val="none"/>
          <w:shd w:fill="FFFFFF" w:val="clear"/>
        </w:rPr>
        <w:t>100</w:t>
      </w:r>
      <w:r>
        <w:rPr>
          <w:rFonts w:ascii="Times New Roman" w:hAnsi="Times New Roman"/>
          <w:sz w:val="28"/>
          <w:szCs w:val="28"/>
          <w:shd w:fill="FFFFFF" w:val="clear"/>
        </w:rPr>
        <w:t>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Pr>
          <w:rFonts w:ascii="Times New Roman" w:hAnsi="Times New Roman"/>
          <w:sz w:val="28"/>
          <w:szCs w:val="28"/>
        </w:rPr>
        <w:br/>
        <w:t xml:space="preserve">  -</w:t>
      </w:r>
      <w:hyperlink r:id="rId3">
        <w:r>
          <w:rPr>
            <w:rStyle w:val="Style12"/>
            <w:rFonts w:ascii="Times New Roman" w:hAnsi="Times New Roman"/>
            <w:color w:val="00000A"/>
            <w:sz w:val="28"/>
            <w:szCs w:val="28"/>
            <w:highlight w:val="white"/>
            <w:u w:val="none"/>
          </w:rPr>
          <w:t xml:space="preserve"> от 01.12.2016 года №</w:t>
        </w:r>
      </w:hyperlink>
      <w:r>
        <w:rPr>
          <w:rFonts w:ascii="Times New Roman" w:hAnsi="Times New Roman"/>
          <w:color w:val="00000A"/>
          <w:sz w:val="28"/>
          <w:szCs w:val="28"/>
          <w:u w:val="none"/>
          <w:shd w:fill="FFFFFF" w:val="clear"/>
        </w:rPr>
        <w:t>104</w:t>
      </w:r>
      <w:r>
        <w:rPr>
          <w:rFonts w:ascii="Times New Roman" w:hAnsi="Times New Roman"/>
          <w:sz w:val="28"/>
          <w:szCs w:val="28"/>
          <w:shd w:fill="FFFFFF" w:val="clear"/>
        </w:rPr>
        <w:t> «О внесении изменений в постановление Администрации Ковылкинского сельского поселения от 02.12.2015 №100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Pr>
          <w:rFonts w:ascii="Times New Roman" w:hAnsi="Times New Roman"/>
          <w:sz w:val="28"/>
          <w:szCs w:val="28"/>
        </w:rPr>
        <w:t>;</w:t>
      </w:r>
    </w:p>
    <w:p>
      <w:pPr>
        <w:pStyle w:val="Normal"/>
        <w:widowControl w:val="false"/>
        <w:tabs>
          <w:tab w:val="left" w:pos="298" w:leader="none"/>
        </w:tabs>
        <w:spacing w:lineRule="auto" w:line="240" w:before="0" w:after="0"/>
        <w:ind w:right="20" w:hanging="0"/>
        <w:jc w:val="both"/>
        <w:rPr/>
      </w:pPr>
      <w:r>
        <w:rPr>
          <w:rFonts w:ascii="Times New Roman" w:hAnsi="Times New Roman"/>
          <w:bCs/>
          <w:sz w:val="28"/>
          <w:szCs w:val="28"/>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pPr>
      <w:r>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pPr>
            <w:r>
              <w:rPr>
                <w:rFonts w:ascii="Times New Roman" w:hAnsi="Times New Roman"/>
                <w:sz w:val="24"/>
                <w:szCs w:val="24"/>
                <w:lang w:eastAsia="en-US"/>
              </w:rPr>
              <w:t xml:space="preserve">Ковылкинского сельского поселения            от </w:t>
            </w:r>
            <w:r>
              <w:rPr>
                <w:rFonts w:ascii="Times New Roman" w:hAnsi="Times New Roman"/>
                <w:sz w:val="24"/>
                <w:szCs w:val="24"/>
                <w:u w:val="single"/>
                <w:lang w:eastAsia="en-US"/>
              </w:rPr>
              <w:t>07.11.2022</w:t>
            </w:r>
            <w:r>
              <w:rPr>
                <w:rFonts w:ascii="Times New Roman" w:hAnsi="Times New Roman"/>
                <w:sz w:val="24"/>
                <w:szCs w:val="24"/>
                <w:lang w:eastAsia="en-US"/>
              </w:rPr>
              <w:t xml:space="preserve">г. № </w:t>
            </w:r>
            <w:r>
              <w:rPr>
                <w:rFonts w:ascii="Times New Roman" w:hAnsi="Times New Roman"/>
                <w:sz w:val="24"/>
                <w:szCs w:val="24"/>
                <w:u w:val="single"/>
                <w:lang w:eastAsia="en-US"/>
              </w:rPr>
              <w:t>110</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b/>
          <w:bCs/>
          <w:sz w:val="28"/>
          <w:szCs w:val="28"/>
        </w:rPr>
        <w:t>АДМИНИСТРАТИВНЫЙ РЕГЛАМЕНТ</w:t>
        <w:br/>
        <w:t>предоставления муниципальной услуги «Перевод жилого помещения в нежилое помещение и нежилого помещения в жилое помещение»</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Административный регламент </w:t>
      </w:r>
      <w:bookmarkStart w:id="3" w:name="_Hlk99377303"/>
      <w:r>
        <w:rPr>
          <w:rFonts w:ascii="Times New Roman" w:hAnsi="Times New Roman"/>
          <w:sz w:val="28"/>
          <w:szCs w:val="28"/>
        </w:rPr>
        <w:t xml:space="preserve">предоставления муниципальной услуги </w:t>
      </w:r>
      <w:bookmarkStart w:id="4" w:name="_Hlk99368095"/>
      <w:r>
        <w:rPr>
          <w:rFonts w:ascii="Times New Roman" w:hAnsi="Times New Roman"/>
          <w:sz w:val="28"/>
          <w:szCs w:val="28"/>
        </w:rPr>
        <w:t>«</w:t>
      </w:r>
      <w:r>
        <w:rPr>
          <w:rFonts w:ascii="Times New Roman" w:hAnsi="Times New Roman"/>
          <w:bCs/>
          <w:sz w:val="28"/>
          <w:szCs w:val="28"/>
        </w:rPr>
        <w:t>Перевод жилого помещения в нежилое помещение и нежилого помещения в жилое помещение</w:t>
      </w:r>
      <w:bookmarkEnd w:id="2"/>
      <w:bookmarkEnd w:id="3"/>
      <w:bookmarkEnd w:id="4"/>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Перевод жилого помещения в нежилое помещение и нежилого помещения в жилое помещение</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bookmarkStart w:id="5" w:name="_Hlk99370622"/>
      <w:r>
        <w:rPr>
          <w:rFonts w:ascii="Times New Roman" w:hAnsi="Times New Roman"/>
          <w:sz w:val="28"/>
          <w:szCs w:val="28"/>
          <w:lang w:bidi="ru-RU"/>
        </w:rPr>
        <w:t xml:space="preserve"> </w:t>
      </w:r>
      <w:r>
        <w:rPr>
          <w:rFonts w:ascii="Times New Roman" w:hAnsi="Times New Roman"/>
          <w:bCs/>
          <w:sz w:val="28"/>
          <w:szCs w:val="28"/>
          <w:lang w:bidi="ru-RU"/>
        </w:rPr>
        <w:t xml:space="preserve">Ковылкинского сельского поселения </w:t>
      </w:r>
      <w:bookmarkEnd w:id="5"/>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собственники помещений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4">
        <w:r>
          <w:rPr>
            <w:rStyle w:val="Style12"/>
            <w:rFonts w:ascii="Times New Roman" w:hAnsi="Times New Roman"/>
            <w:sz w:val="28"/>
            <w:szCs w:val="28"/>
            <w:lang w:bidi="ru-RU"/>
          </w:rPr>
          <w:t>https://kovylkinskoe-sp.ru/</w:t>
        </w:r>
      </w:hyperlink>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6" w:name="_Hlk99370069"/>
      <w:r>
        <w:rPr/>
        <w:t>I</w:t>
      </w:r>
      <w:bookmarkEnd w:id="6"/>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 </w:t>
      </w:r>
      <w:bookmarkStart w:id="7" w:name="_Hlk107311549"/>
      <w:r>
        <w:rPr>
          <w:rFonts w:ascii="Times New Roman" w:hAnsi="Times New Roman"/>
          <w:sz w:val="28"/>
          <w:szCs w:val="28"/>
        </w:rPr>
        <w:t>«</w:t>
      </w:r>
      <w:r>
        <w:rPr>
          <w:rFonts w:ascii="Times New Roman" w:hAnsi="Times New Roman"/>
          <w:bCs/>
          <w:sz w:val="28"/>
          <w:szCs w:val="28"/>
        </w:rPr>
        <w:t>Перевод жилого помещения в нежилое помещение и нежилого помещения в жилое помещение</w:t>
      </w:r>
      <w:bookmarkEnd w:id="7"/>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Фонд пенсионного и социального страхования Российской Федерации, организации технической инвентаризации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(направление) заявителю уведомления о переводе (отказе в переводе) жилого (нежилого) помещения в нежилое (жилое) помещение</w:t>
      </w:r>
      <w:r>
        <w:rPr>
          <w:rFonts w:ascii="Times New Roman" w:hAnsi="Times New Roman"/>
          <w:iCs/>
          <w:sz w:val="28"/>
          <w:szCs w:val="28"/>
        </w:rPr>
        <w:t xml:space="preserve"> форма которого приведена в приложении 2 к настоящему административному регламенту</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45 календарных дней со дня регистрации в Уполномоченном органе заявления и прилагаемых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Срок выдачи (направления) заявителю результата предоставления муниципальной услуги составляет 3 календарных дня.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w:t>
      </w:r>
      <w:r>
        <w:rPr>
          <w:rFonts w:ascii="Times New Roman" w:hAnsi="Times New Roman"/>
          <w:iCs/>
          <w:sz w:val="28"/>
          <w:szCs w:val="28"/>
        </w:rPr>
        <w:t>заявление о переводе помещения, примерная форма которого приведена в приложении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4) правоустанавливающие документы на переводимое помещение, либо выписка из ЕГРН об объекте недвижимости (переводимом помещении):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купли-продажи;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дарения;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мены;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ренты (пожизненного содержания с иждивением);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закону;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завещанию;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решение суда.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5)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6) поэтажный план дома, в котором находится переводимое помещение.</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7)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8)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9) согласие каждого собственника всех помещений, примыкающих к переводимому помещению, на перевод жилого помещения в нежилое помещение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ЕГРН об объекте недвижимости (переводимом помещении);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iCs/>
          <w:sz w:val="28"/>
          <w:szCs w:val="28"/>
        </w:rPr>
        <w:t>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поэтажный план дома, в котором находится переводимое помещение.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r>
          <w:rPr>
            <w:rStyle w:val="Style12"/>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6">
        <w:r>
          <w:rPr>
            <w:rStyle w:val="Style12"/>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7">
        <w:r>
          <w:rPr>
            <w:rStyle w:val="Style12"/>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r>
          <w:rPr>
            <w:rStyle w:val="Style12"/>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поступления в Уполномоченный орган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представления документов в ненадлежащий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r>
        <w:rPr>
          <w:rStyle w:val="Style24"/>
          <w:rFonts w:ascii="Times New Roman" w:hAnsi="Times New Roman"/>
          <w:sz w:val="28"/>
          <w:szCs w:val="28"/>
        </w:rPr>
        <w:footnoteReference w:id="2"/>
      </w:r>
      <w:r>
        <w:rPr>
          <w:rFonts w:ascii="Times New Roman" w:hAnsi="Times New Roman"/>
          <w:sz w:val="28"/>
          <w:szCs w:val="28"/>
        </w:rPr>
        <w:t>.</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
        <w:r>
          <w:rPr>
            <w:rStyle w:val="Style12"/>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Pr>
          <w:rFonts w:ascii="Times New Roman" w:hAnsi="Times New Roman"/>
          <w:sz w:val="28"/>
          <w:szCs w:val="28"/>
        </w:rPr>
        <w:t>Уполномоченного органа</w:t>
      </w:r>
      <w:bookmarkEnd w:id="8"/>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9" w:name="p28"/>
      <w:bookmarkEnd w:id="9"/>
      <w:r>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принимает решение о переводе жилого помещения в нежилое помещение либо о переводе нежилого помещения в жилое помещение;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На основании принятого решения готовится уведомление, подтверждающее принятие одного из указанных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 уведомление).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проведения его переустройства, и (или) перепланировки, и (или) иных работ.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2.8 настоящего Административного регламента и (или) иных работ с учетом перечня таких работ, указанных в уведомлении.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Завершение указанных переустройства, и (или) перепланировки, и (или) иных работ подтверждается актом приемочной комиссии, сформированной Уполномоченным органом (далее – акт приемочной комиссии). Акт приемочной комиссии, подтверждающий завершение переустройства и (или) перепланировки, направляется Уполномоченным органом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подготовленное в установленном порядке уведомление о переводе (отказе в переводе) жилого (нежилого) помещения в нежилое (жилое) помещение.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Срок выполнения административной процедуры составляет не более 45 календарных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уведомление о переводе (отказе в переводе) жилого (нежилого) помещения в нежилое (жилое) помещение.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3календарных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уведомления.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0" w:name="_Hlk99376589"/>
      <w:bookmarkEnd w:id="10"/>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r>
          <w:rPr>
            <w:rStyle w:val="Style12"/>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2"/>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2"/>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3">
        <w:r>
          <w:rPr>
            <w:rStyle w:val="Style12"/>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2"/>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2"/>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1" w:name="_Hlk94101634"/>
      <w:bookmarkStart w:id="12" w:name="_Hlk94101634"/>
      <w:bookmarkEnd w:id="12"/>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3" w:name="_Hlk98148241"/>
      <w:bookmarkStart w:id="14" w:name="_Hlk941016341"/>
      <w:bookmarkStart w:id="15" w:name="_Hlk98148241"/>
      <w:bookmarkStart w:id="16" w:name="_Hlk941016341"/>
      <w:bookmarkEnd w:id="16"/>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bookmarkStart w:id="17" w:name="_GoBack"/>
      <w:bookmarkStart w:id="18" w:name="_GoBack"/>
      <w:bookmarkEnd w:id="18"/>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ПРИЛОЖЕНИЕ 1</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Перевод жилого помещения в нежилое помещение и нежилого помещения в жилое помещение</w:t>
      </w:r>
      <w:bookmarkEnd w:id="15"/>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исполнительно-распорядительного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органа местного самоуправления, предоставляющего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муниципальную услугу)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кого 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заявителя, фамилия, имя,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отчество - для граждан, полное наименование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организации - 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и индекс,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контактный 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дать  разрешение  на  перевод жилого (нежилого) помещения (квартиры)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_________ по адресу: ____________________________________________ в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(нежилое) помещение для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(функциональное назначение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Дата</w:t>
      </w:r>
    </w:p>
    <w:p>
      <w:pPr>
        <w:pStyle w:val="Normal"/>
        <w:spacing w:lineRule="auto" w:line="240" w:before="0" w:after="0"/>
        <w:ind w:firstLine="708"/>
        <w:jc w:val="both"/>
        <w:rPr>
          <w:rFonts w:ascii="Times New Roman" w:hAnsi="Times New Roman"/>
          <w:strike/>
          <w:sz w:val="28"/>
          <w:szCs w:val="28"/>
        </w:rPr>
      </w:pPr>
      <w:r>
        <w:rPr>
          <w:rFonts w:ascii="Times New Roman" w:hAnsi="Times New Roman"/>
          <w:strike/>
          <w:sz w:val="28"/>
          <w:szCs w:val="28"/>
        </w:rPr>
      </w:r>
    </w:p>
    <w:p>
      <w:pPr>
        <w:pStyle w:val="Normal"/>
        <w:spacing w:lineRule="auto" w:line="240" w:before="0" w:after="0"/>
        <w:ind w:firstLine="708"/>
        <w:jc w:val="both"/>
        <w:rPr>
          <w:rFonts w:ascii="Times New Roman" w:hAnsi="Times New Roman"/>
          <w:strike/>
          <w:sz w:val="28"/>
          <w:szCs w:val="28"/>
        </w:rPr>
      </w:pPr>
      <w:r>
        <w:rPr>
          <w:rFonts w:ascii="Times New Roman" w:hAnsi="Times New Roman"/>
          <w:strike/>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ПРИЛОЖЕНИЕ 2</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Перевод жилого помещения в нежилое помещение и нежилого помещения в жилое помещение</w:t>
      </w:r>
      <w:r>
        <w:rPr>
          <w:rFonts w:ascii="Times New Roman" w:hAnsi="Times New Roman"/>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ФОРМА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уведомления о переводе (отказе в переводе) жилого (нежилого)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помещения в нежилое (жилое) помещение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Кому 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граждан;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организации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Куда 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индекс и адрес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заявителя согласно заявлению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переводе)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УВЕДОМЛЕНИЕ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переводе (отказе в переводе) жилого (нежилого)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помещения в нежилое (жилое) помещение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органа местного самоуправления,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осуществляющего перевод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рассмотрев  представленные  в  соответствии  </w:t>
      </w:r>
      <w:r>
        <w:rPr>
          <w:rFonts w:cs="Courier New" w:ascii="Courier New" w:hAnsi="Courier New"/>
          <w:color w:val="000000"/>
          <w:sz w:val="20"/>
          <w:szCs w:val="20"/>
        </w:rPr>
        <w:t xml:space="preserve">с </w:t>
      </w:r>
      <w:hyperlink r:id="rId16">
        <w:r>
          <w:rPr>
            <w:rStyle w:val="Style12"/>
            <w:rFonts w:cs="Courier New" w:ascii="Courier New" w:hAnsi="Courier New"/>
            <w:color w:val="000000"/>
            <w:sz w:val="20"/>
            <w:szCs w:val="20"/>
          </w:rPr>
          <w:t>частью 2 статьи 23</w:t>
        </w:r>
      </w:hyperlink>
      <w:r>
        <w:rPr>
          <w:rFonts w:cs="Courier New" w:ascii="Courier New" w:hAnsi="Courier New"/>
          <w:sz w:val="20"/>
          <w:szCs w:val="20"/>
        </w:rPr>
        <w:t>Жилищного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кодекса  Российской Федерации документы о переводе помещения общей площадью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находящегося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городского или сельского поселения)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улицы, площади, проспекта, бульвара, проезда и т.п.)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корпус                         из жилого (нежилого)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(владение, строение)                    в нежилое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дом ____, ____________________, кв. _____,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(ненужное зачеркнуть)                 (ненужное зачеркнуть)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целях использования помещения в качестве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(вид использования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помещения в соответствии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 заявлением о переводе)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РЕШИЛ</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акта, дата его принятия и номер)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Помещение на основании приложенных к заявлению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 перевести из жилого (нежилого) в нежилое (жилое) без предварительных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(ненужное зачеркнуть)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условий;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б)  перевести  из  жилого  (нежилого)  в  нежилое  (жилое)  при условии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проведения в установленном порядке следующих видов работ: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(перечень работ по переустройству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(перепланировке)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иных необходимых работ по ремонту, реконструкции, реставрации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Отказать  в  переводе  указанного  помещения из жилого (нежилого)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нежилое (жилое) в связи с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(основание(я), установленное </w:t>
      </w:r>
      <w:hyperlink r:id="rId17">
        <w:r>
          <w:rPr>
            <w:rStyle w:val="Style12"/>
            <w:rFonts w:cs="Courier New" w:ascii="Courier New" w:hAnsi="Courier New"/>
            <w:color w:val="000000"/>
            <w:sz w:val="20"/>
            <w:szCs w:val="20"/>
          </w:rPr>
          <w:t>частью 1</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статьи 24 Жилищного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  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(должность лица, подписавшего        (подпись)     (расшифровка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уведомление)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______________ 20__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М.П.</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bookmarkStart w:id="19" w:name="_Toc486608800"/>
      <w:bookmarkStart w:id="20" w:name="_Toc486608800"/>
      <w:bookmarkEnd w:id="20"/>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
    </w:p>
    <w:sectPr>
      <w:footnotePr>
        <w:numFmt w:val="decimal"/>
      </w:footnote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ind w:firstLine="539"/>
        <w:jc w:val="both"/>
        <w:rPr>
          <w:rFonts w:ascii="Times New Roman" w:hAnsi="Times New Roman"/>
          <w:iCs/>
          <w:sz w:val="20"/>
          <w:szCs w:val="20"/>
        </w:rPr>
      </w:pPr>
      <w:r>
        <w:rPr>
          <w:rStyle w:val="Footnotereference"/>
          <w:rFonts w:eastAsia="Calibri" w:ascii="Times New Roman" w:hAnsi="Times New Roman"/>
          <w:sz w:val="20"/>
          <w:szCs w:val="20"/>
        </w:rPr>
        <w:footnoteRef/>
        <w:tab/>
      </w:r>
      <w:r>
        <w:rPr>
          <w:rFonts w:ascii="Times New Roman" w:hAnsi="Times New Roman"/>
          <w:iCs/>
          <w:sz w:val="20"/>
          <w:szCs w:val="20"/>
        </w:rPr>
        <w:t>к случаям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 относятся:</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tab/>
        <w:t>перевод жилого помещения в нежилое помещение,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tab/>
        <w:t xml:space="preserve">перевод нежилого помещения в жилое помещение, если такое помещение не отвечает </w:t>
      </w:r>
      <w:hyperlink r:id="rId1">
        <w:r>
          <w:rPr>
            <w:rStyle w:val="Style12"/>
            <w:rFonts w:ascii="Times New Roman" w:hAnsi="Times New Roman"/>
            <w:iCs/>
            <w:sz w:val="20"/>
            <w:szCs w:val="20"/>
          </w:rPr>
          <w:t>требованиям</w:t>
        </w:r>
      </w:hyperlink>
      <w:r>
        <w:rPr>
          <w:rFonts w:ascii="Times New Roman" w:hAnsi="Times New Roman"/>
          <w:iCs/>
          <w:sz w:val="20"/>
          <w:szCs w:val="20"/>
        </w:rPr>
        <w:t xml:space="preserve">, которым должно отвечать жилое помещение и которые установлены Постановлением Правительства Российской Федерации от 28 января 2006 г. № 47 </w:t>
      </w:r>
      <w:r>
        <w:rPr>
          <w:rFonts w:ascii="Times New Roman" w:hAnsi="Times New Roman"/>
          <w:sz w:val="20"/>
          <w:szCs w:val="20"/>
        </w:rPr>
        <w:t>«</w:t>
      </w:r>
      <w:r>
        <w:rPr>
          <w:rFonts w:ascii="Times New Roman" w:hAnsi="Times New Roman"/>
          <w:iCs/>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tab/>
        <w:t xml:space="preserve"> перевод квартиры в многоквартирном доме в нежилое помещение, если такая квартира расположена на первом этаже указанного дома или выше первого этажа, при этом помещения, расположенные непосредственно под квартирой, переводимой в нежилое помещение, являются жилыми;</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tab/>
        <w:t xml:space="preserve"> перевод жилого помещения в наемном доме социального использования в нежилое помещение;</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tab/>
        <w:t xml:space="preserve"> отсутствие согласия собственников помещений либо решения общего собрания собственников помещений в многоквартирном доме на реконструкцию и использование общего имущества многоквартирного дома (конструктивных элементов здания, земельного участка), если перевод жилого помещения в нежилое связан с необходимостью проведения работ по реконструкции многоквартирного дома либо с предоставлением заявителю в этих целях части общего земельного участка.</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r>
    </w:p>
    <w:p>
      <w:pPr>
        <w:pStyle w:val="Normal"/>
        <w:spacing w:lineRule="auto" w:line="240" w:before="0" w:after="0"/>
        <w:ind w:firstLine="539"/>
        <w:jc w:val="both"/>
        <w:rPr/>
      </w:pPr>
      <w:r>
        <w:rPr/>
      </w:r>
    </w:p>
  </w:footnote>
</w:footnotes>
</file>

<file path=word/settings.xml><?xml version="1.0" encoding="utf-8"?>
<w:settings xmlns:w="http://schemas.openxmlformats.org/wordprocessingml/2006/main">
  <w:zoom w:percent="100"/>
  <w:embedSystemFonts/>
  <w:defaultTabStop w:val="720"/>
  <w:autoHyphenation w:val="false"/>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Normal"/>
    <w:link w:val="70"/>
    <w:semiHidden/>
    <w:unhideWhenUsed/>
    <w:qFormat/>
    <w:locked/>
    <w:rsid w:val="00335348"/>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Style9"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0" w:customStyle="1">
    <w:name w:val="Верхний колонтитул Знак"/>
    <w:basedOn w:val="DefaultParagraphFont"/>
    <w:link w:val="a6"/>
    <w:uiPriority w:val="99"/>
    <w:qFormat/>
    <w:locked/>
    <w:rsid w:val="00f717ea"/>
    <w:rPr>
      <w:rFonts w:cs="Times New Roman"/>
    </w:rPr>
  </w:style>
  <w:style w:type="character" w:styleId="Style11" w:customStyle="1">
    <w:name w:val="Нижний колонтитул Знак"/>
    <w:basedOn w:val="DefaultParagraphFont"/>
    <w:link w:val="a8"/>
    <w:uiPriority w:val="99"/>
    <w:qFormat/>
    <w:locked/>
    <w:rsid w:val="00f717ea"/>
    <w:rPr>
      <w:rFonts w:cs="Times New Roman"/>
    </w:rPr>
  </w:style>
  <w:style w:type="character" w:styleId="Style12">
    <w:name w:val="Интернет-ссылка"/>
    <w:basedOn w:val="DefaultParagraphFont"/>
    <w:unhideWhenUsed/>
    <w:rsid w:val="00966001"/>
    <w:rPr>
      <w:color w:val="0000FF" w:themeColor="hyperlink"/>
      <w:u w:val="single"/>
    </w:rPr>
  </w:style>
  <w:style w:type="character" w:styleId="Style13"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4"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5"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6"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7"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8"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19">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0"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1"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2"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71" w:customStyle="1">
    <w:name w:val="Заголовок 7 Знак"/>
    <w:basedOn w:val="DefaultParagraphFont"/>
    <w:link w:val="7"/>
    <w:semiHidden/>
    <w:qFormat/>
    <w:rsid w:val="00335348"/>
    <w:rPr>
      <w:rFonts w:ascii="Cambria" w:hAnsi="Cambria" w:eastAsia="" w:cs="" w:asciiTheme="majorHAnsi" w:cstheme="majorBidi" w:eastAsiaTheme="majorEastAsia" w:hAnsiTheme="majorHAnsi"/>
      <w:i/>
      <w:iCs/>
      <w:color w:val="404040" w:themeColor="text1" w:themeTint="bf"/>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character" w:styleId="Style23">
    <w:name w:val="Символ сноски"/>
    <w:qFormat/>
    <w:rPr/>
  </w:style>
  <w:style w:type="character" w:styleId="Style24">
    <w:name w:val="Привязка сноски"/>
    <w:rPr>
      <w:vertAlign w:val="superscript"/>
    </w:rPr>
  </w:style>
  <w:style w:type="character" w:styleId="Style25">
    <w:name w:val="Привязка концевой сноски"/>
    <w:rPr>
      <w:vertAlign w:val="superscript"/>
    </w:rPr>
  </w:style>
  <w:style w:type="character" w:styleId="Style26">
    <w:name w:val="Символы концевой сноски"/>
    <w:qFormat/>
    <w:rPr/>
  </w:style>
  <w:style w:type="paragraph" w:styleId="Style27" w:customStyle="1">
    <w:name w:val="Заголовок"/>
    <w:basedOn w:val="Normal"/>
    <w:next w:val="Style28"/>
    <w:uiPriority w:val="99"/>
    <w:qFormat/>
    <w:rsid w:val="00237533"/>
    <w:pPr>
      <w:widowControl/>
      <w:bidi w:val="0"/>
      <w:jc w:val="left"/>
    </w:pPr>
    <w:rPr>
      <w:rFonts w:ascii="Arial" w:hAnsi="Arial" w:cs="Arial"/>
      <w:b/>
      <w:bCs/>
    </w:rPr>
  </w:style>
  <w:style w:type="paragraph" w:styleId="Style28">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2">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3">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4">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5"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6"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7"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8">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9">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40"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Default" w:customStyle="1">
    <w:name w:val="Default"/>
    <w:qFormat/>
    <w:rsid w:val="00335348"/>
    <w:pPr>
      <w:widowControl/>
      <w:bidi w:val="0"/>
      <w:jc w:val="left"/>
    </w:pPr>
    <w:rPr>
      <w:rFonts w:ascii="Times New Roman" w:hAnsi="Times New Roman" w:eastAsia="Calibri" w:cs="Times New Roman"/>
      <w:color w:val="000000"/>
      <w:sz w:val="24"/>
      <w:szCs w:val="24"/>
      <w:lang w:val="ru-RU" w:eastAsia="ru-RU" w:bidi="ar-SA"/>
    </w:rPr>
  </w:style>
  <w:style w:type="paragraph" w:styleId="Style41">
    <w:name w:val="Footnote Text"/>
    <w:basedOn w:val="Normal"/>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11.docx" TargetMode="External"/><Relationship Id="rId3" Type="http://schemas.openxmlformats.org/officeDocument/2006/relationships/hyperlink" Target="https://mihailov-sp.ru/images/doc/post-2016--39.docx" TargetMode="External"/><Relationship Id="rId4" Type="http://schemas.openxmlformats.org/officeDocument/2006/relationships/hyperlink" Target="https://kovylkinskoe-sp.ru/" TargetMode="External"/><Relationship Id="rId5" Type="http://schemas.openxmlformats.org/officeDocument/2006/relationships/hyperlink" Target="consultantplus://offline/ref=40DCD611032706BCD6B5E646400BFA920ED9FA9B15CFD7BBEA981C1CF20BBD8CA6656B7CEABE4E3D6F661CB9C7323B869D485517F1B8F6FBE7p1J" TargetMode="External"/><Relationship Id="rId6" Type="http://schemas.openxmlformats.org/officeDocument/2006/relationships/hyperlink" Target="consultantplus://offline/ref=40DCD611032706BCD6B5E646400BFA920ED9FA9B15CFD7BBEA981C1CF20BBD8CA6656B79E9B51A6D2B3845EA8679378686545414EEp7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consultantplus://offline/ref=40DCD611032706BCD6B5E646400BFA920ED9FA9B15CFD7BBEA981C1CF20BBD8CA6656B7CEABE4D396D661CB9C7323B869D485517F1B8F6FBE7p1J" TargetMode="External"/><Relationship Id="rId9" Type="http://schemas.openxmlformats.org/officeDocument/2006/relationships/hyperlink" Target="https://login.consultant.ru/link/?req=doc&amp;base=LAW&amp;n=406229&amp;dst=100088&amp;field=134&amp;date=28.04.2022" TargetMode="External"/><Relationship Id="rId10" Type="http://schemas.openxmlformats.org/officeDocument/2006/relationships/hyperlink" Target="consultantplus://offline/ref=A889D916D8CCA63FEA8702672F52EF815B47E0B73C82B770F3C3BBBFF1EA9779387FEF208DV2TCL"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6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hyperlink" Target="https://login.consultant.ru/link/?req=doc&amp;base=LAW&amp;n=416251&amp;dst=150&amp;field=134&amp;date=21.06.2022" TargetMode="External"/><Relationship Id="rId17" Type="http://schemas.openxmlformats.org/officeDocument/2006/relationships/hyperlink" Target="https://login.consultant.ru/link/?req=doc&amp;base=LAW&amp;n=416251&amp;dst=100189&amp;field=134&amp;date=21.06.2022" TargetMode="External"/><Relationship Id="rId18" Type="http://schemas.openxmlformats.org/officeDocument/2006/relationships/footnotes" Target="footnotes.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consultantplus://offline/ref=5A418F12BC44E52B212E55F8906B419C40C3CA72D94ABFEF16EE35846073F65F88922F18AFBCEEIBOA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6EE5-E6A7-4D16-B8DA-7321D979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Application>LibreOffice/5.3.3.2$Windows_X86_64 LibreOffice_project/3d9a8b4b4e538a85e0782bd6c2d430bafe583448</Application>
  <Pages>34</Pages>
  <Words>9721</Words>
  <Characters>76631</Characters>
  <CharactersWithSpaces>87924</CharactersWithSpaces>
  <Paragraphs>554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2022-11-17T14:24:16Z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