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szCs w:val="28"/>
        </w:rPr>
      </w:pPr>
      <w:r>
        <w:rPr/>
      </w:r>
    </w:p>
    <w:p>
      <w:pPr>
        <w:pStyle w:val="Normal"/>
        <w:keepNext/>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jc w:val="center"/>
        <w:rPr>
          <w:rStyle w:val="21"/>
          <w:rFonts w:ascii="Times New Roman" w:hAnsi="Times New Roman"/>
          <w:color w:val="000000" w:themeColor="text1"/>
          <w:sz w:val="28"/>
          <w:szCs w:val="28"/>
        </w:rPr>
      </w:pPr>
      <w:r>
        <w:rPr>
          <w:rStyle w:val="21"/>
          <w:rFonts w:ascii="Times New Roman" w:hAnsi="Times New Roman"/>
          <w:color w:val="000000" w:themeColor="text1"/>
          <w:sz w:val="28"/>
          <w:szCs w:val="28"/>
        </w:rPr>
        <w:t>ПОСТАНОВЛЕНИЕ</w:t>
      </w:r>
    </w:p>
    <w:p>
      <w:pPr>
        <w:pStyle w:val="25"/>
        <w:shd w:val="clear" w:color="auto" w:fill="auto"/>
        <w:spacing w:lineRule="auto" w:line="240" w:before="0" w:after="0"/>
        <w:jc w:val="left"/>
        <w:rPr/>
      </w:pPr>
      <w:r>
        <w:rPr>
          <w:rStyle w:val="Style10"/>
          <w:bCs w:val="false"/>
          <w:color w:val="000000"/>
          <w:sz w:val="28"/>
          <w:szCs w:val="28"/>
        </w:rPr>
        <w:t>15</w:t>
      </w:r>
      <w:r>
        <w:rPr>
          <w:rStyle w:val="Style10"/>
          <w:bCs w:val="false"/>
          <w:color w:val="000000"/>
          <w:sz w:val="28"/>
          <w:szCs w:val="28"/>
        </w:rPr>
        <w:t xml:space="preserve"> </w:t>
      </w:r>
      <w:r>
        <w:rPr>
          <w:rStyle w:val="Style10"/>
          <w:bCs w:val="false"/>
          <w:color w:val="000000"/>
          <w:sz w:val="28"/>
          <w:szCs w:val="28"/>
        </w:rPr>
        <w:t>декабря</w:t>
      </w:r>
      <w:r>
        <w:rPr>
          <w:rStyle w:val="Style10"/>
          <w:bCs w:val="false"/>
          <w:color w:val="000000"/>
          <w:sz w:val="28"/>
          <w:szCs w:val="28"/>
        </w:rPr>
        <w:t xml:space="preserve"> 2022 года                               №</w:t>
      </w:r>
      <w:r>
        <w:rPr>
          <w:rStyle w:val="Style10"/>
          <w:bCs w:val="false"/>
          <w:color w:val="000000"/>
          <w:sz w:val="28"/>
          <w:szCs w:val="28"/>
        </w:rPr>
        <w:t>1</w:t>
      </w:r>
      <w:r>
        <w:rPr>
          <w:rStyle w:val="Style10"/>
          <w:bCs w:val="false"/>
          <w:color w:val="000000"/>
          <w:sz w:val="28"/>
          <w:szCs w:val="28"/>
        </w:rPr>
        <w:t>28                                  х.</w:t>
      </w:r>
      <w:r>
        <w:rPr>
          <w:rStyle w:val="Style10"/>
          <w:bCs w:val="false"/>
          <w:color w:val="000000"/>
          <w:sz w:val="28"/>
          <w:szCs w:val="28"/>
        </w:rPr>
        <w:t>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393" w:hanging="0"/>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r>
        <w:rPr>
          <w:rFonts w:ascii="Times New Roman" w:hAnsi="Times New Roman"/>
          <w:bCs/>
          <w:sz w:val="28"/>
          <w:szCs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689"/>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689"/>
        <w:jc w:val="both"/>
        <w:rPr/>
      </w:pPr>
      <w:r>
        <w:rPr>
          <w:rFonts w:ascii="Times New Roman" w:hAnsi="Times New Roman"/>
          <w:sz w:val="28"/>
          <w:szCs w:val="28"/>
          <w:shd w:fill="FFFFFF" w:val="clear"/>
        </w:rPr>
        <w:t>2. Признать утратившим силу постановлени</w:t>
      </w:r>
      <w:r>
        <w:rPr>
          <w:rFonts w:ascii="Times New Roman" w:hAnsi="Times New Roman"/>
          <w:sz w:val="28"/>
          <w:szCs w:val="28"/>
          <w:shd w:fill="FFFFFF" w:val="clear"/>
        </w:rPr>
        <w:t>е</w:t>
      </w:r>
      <w:r>
        <w:rPr>
          <w:rFonts w:ascii="Times New Roman" w:hAnsi="Times New Roman"/>
          <w:sz w:val="28"/>
          <w:szCs w:val="28"/>
          <w:shd w:fill="FFFFFF" w:val="clear"/>
        </w:rPr>
        <w:t xml:space="preserve"> Администрации Ковылкинского сельского поселения </w:t>
      </w:r>
      <w:r>
        <w:rPr>
          <w:rFonts w:ascii="Times New Roman" w:hAnsi="Times New Roman"/>
          <w:sz w:val="28"/>
          <w:szCs w:val="28"/>
          <w:shd w:fill="FFFFFF" w:val="clear"/>
        </w:rPr>
        <w:t>№52 от 27.10.2021 года</w:t>
      </w:r>
      <w:r>
        <w:rPr>
          <w:rFonts w:ascii="Times New Roman" w:hAnsi="Times New Roman"/>
          <w:sz w:val="28"/>
          <w:szCs w:val="28"/>
          <w:shd w:fill="FFFFFF" w:val="clear"/>
        </w:rPr>
        <w:t xml:space="preserve"> «</w:t>
      </w:r>
      <w:r>
        <w:rPr>
          <w:rFonts w:eastAsia="Times New Roman" w:cs="Times New Roman" w:ascii="Times New Roman" w:hAnsi="Times New Roman"/>
          <w:sz w:val="28"/>
        </w:rPr>
        <w:t xml:space="preserve">О внесении изменений в постановление Администрации Ковылкинского сельского </w:t>
      </w:r>
      <w:r>
        <w:rPr>
          <w:rFonts w:eastAsia="Times New Roman" w:cs="Times New Roman" w:ascii="Times New Roman" w:hAnsi="Times New Roman"/>
          <w:sz w:val="28"/>
          <w:lang w:val="hi-IN"/>
        </w:rPr>
        <w:t xml:space="preserve">поселения  от 09.03.2016 г. №15«Об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r>
        <w:rPr>
          <w:rFonts w:eastAsia="Times New Roman" w:cs="Times New Roman" w:ascii="Times New Roman" w:hAnsi="Times New Roman"/>
          <w:sz w:val="28"/>
          <w:szCs w:val="28"/>
          <w:lang w:val="hi-IN"/>
        </w:rPr>
        <w:t xml:space="preserve">реконструкции объектов капитального строительства» </w:t>
      </w:r>
    </w:p>
    <w:p>
      <w:pPr>
        <w:pStyle w:val="Normal"/>
        <w:widowControl w:val="false"/>
        <w:tabs>
          <w:tab w:val="left" w:pos="298" w:leader="none"/>
          <w:tab w:val="left" w:pos="1125" w:leader="none"/>
        </w:tabs>
        <w:spacing w:lineRule="auto" w:line="240" w:before="0" w:after="0"/>
        <w:ind w:left="20" w:right="20" w:firstLine="689"/>
        <w:jc w:val="both"/>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w:t>
      </w:r>
      <w:r>
        <w:rPr>
          <w:rFonts w:ascii="Times New Roman" w:hAnsi="Times New Roman"/>
          <w:sz w:val="28"/>
          <w:szCs w:val="28"/>
        </w:rPr>
        <w:t>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от</w:t>
            </w:r>
            <w:r>
              <w:rPr>
                <w:rFonts w:ascii="Times New Roman" w:hAnsi="Times New Roman"/>
                <w:sz w:val="24"/>
                <w:szCs w:val="24"/>
                <w:lang w:eastAsia="en-US"/>
              </w:rPr>
              <w:t xml:space="preserve"> </w:t>
            </w:r>
            <w:r>
              <w:rPr>
                <w:rFonts w:ascii="Times New Roman" w:hAnsi="Times New Roman"/>
                <w:sz w:val="24"/>
                <w:szCs w:val="24"/>
                <w:lang w:eastAsia="en-US"/>
              </w:rPr>
              <w:t>15</w:t>
            </w:r>
            <w:r>
              <w:rPr>
                <w:rFonts w:ascii="Times New Roman" w:hAnsi="Times New Roman"/>
                <w:sz w:val="24"/>
                <w:szCs w:val="24"/>
                <w:lang w:eastAsia="en-US"/>
              </w:rPr>
              <w:t>.1</w:t>
            </w:r>
            <w:r>
              <w:rPr>
                <w:rFonts w:ascii="Times New Roman" w:hAnsi="Times New Roman"/>
                <w:sz w:val="24"/>
                <w:szCs w:val="24"/>
                <w:lang w:eastAsia="en-US"/>
              </w:rPr>
              <w:t>2</w:t>
            </w:r>
            <w:r>
              <w:rPr>
                <w:rFonts w:ascii="Times New Roman" w:hAnsi="Times New Roman"/>
                <w:sz w:val="24"/>
                <w:szCs w:val="24"/>
                <w:lang w:eastAsia="en-US"/>
              </w:rPr>
              <w:t xml:space="preserve">.2022г. № </w:t>
            </w:r>
            <w:r>
              <w:rPr>
                <w:rFonts w:ascii="Times New Roman" w:hAnsi="Times New Roman"/>
                <w:sz w:val="24"/>
                <w:szCs w:val="24"/>
                <w:lang w:eastAsia="en-US"/>
              </w:rPr>
              <w:t>128</w:t>
            </w:r>
          </w:p>
        </w:tc>
      </w:tr>
    </w:tbl>
    <w:p>
      <w:pPr>
        <w:pStyle w:val="Normal"/>
        <w:widowControl w:val="false"/>
        <w:overflowPunct w:val="fals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widowControl w:val="false"/>
        <w:overflowPunct w:val="fals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widowControl w:val="false"/>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выдаче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bCs/>
          <w:sz w:val="24"/>
          <w:szCs w:val="24"/>
          <w:lang w:bidi="ru-RU"/>
        </w:rPr>
        <w:t xml:space="preserve">на территории Ковылкинского сельского поселения </w:t>
      </w:r>
      <w:r>
        <w:rPr>
          <w:rFonts w:ascii="Times New Roman" w:hAnsi="Times New Roman"/>
          <w:sz w:val="24"/>
          <w:szCs w:val="24"/>
          <w:lang w:bidi="ru-RU"/>
        </w:rPr>
        <w:t>(далее – Услуга, муниципальная услуга) администрацией</w:t>
      </w:r>
      <w:bookmarkStart w:id="6" w:name="_Hlk99370622"/>
      <w:r>
        <w:rPr>
          <w:rFonts w:ascii="Times New Roman" w:hAnsi="Times New Roman"/>
          <w:sz w:val="24"/>
          <w:szCs w:val="24"/>
          <w:lang w:bidi="ru-RU"/>
        </w:rPr>
        <w:t xml:space="preserve"> Ковылкинского</w:t>
      </w:r>
      <w:r>
        <w:rPr>
          <w:rFonts w:ascii="Times New Roman" w:hAnsi="Times New Roman"/>
          <w:bCs/>
          <w:sz w:val="24"/>
          <w:szCs w:val="24"/>
          <w:lang w:bidi="ru-RU"/>
        </w:rPr>
        <w:t xml:space="preserve"> сельского поселения </w:t>
      </w:r>
      <w:bookmarkEnd w:id="6"/>
      <w:r>
        <w:rPr>
          <w:rFonts w:ascii="Times New Roman" w:hAnsi="Times New Roman"/>
          <w:sz w:val="24"/>
          <w:szCs w:val="24"/>
          <w:lang w:bidi="ru-RU"/>
        </w:rPr>
        <w:t>(далее - Уполномоченный орган).</w:t>
      </w:r>
    </w:p>
    <w:p>
      <w:pPr>
        <w:pStyle w:val="Normal"/>
        <w:spacing w:lineRule="auto" w:line="240" w:before="0" w:after="0"/>
        <w:jc w:val="center"/>
        <w:rPr>
          <w:rFonts w:ascii="Times New Roman" w:hAnsi="Times New Roman"/>
          <w:sz w:val="24"/>
          <w:szCs w:val="24"/>
          <w:lang w:bidi="ru-RU"/>
        </w:rPr>
      </w:pPr>
      <w:r>
        <w:rPr>
          <w:rFonts w:ascii="Times New Roman" w:hAnsi="Times New Roman"/>
          <w:sz w:val="24"/>
          <w:szCs w:val="24"/>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bCs/>
          <w:sz w:val="24"/>
          <w:szCs w:val="24"/>
        </w:rPr>
      </w:pPr>
      <w:r>
        <w:rPr>
          <w:rFonts w:ascii="Times New Roman" w:hAnsi="Times New Roman"/>
          <w:sz w:val="24"/>
          <w:szCs w:val="24"/>
        </w:rPr>
        <w:t xml:space="preserve">1.2. Заявителями являются физическое лицо, в том числе зарегистрированное в качестве индивидуального предпринимателя, юридическое лицо, </w:t>
      </w:r>
      <w:r>
        <w:rPr>
          <w:rFonts w:ascii="Times New Roman" w:hAnsi="Times New Roman"/>
          <w:bCs/>
          <w:sz w:val="24"/>
          <w:szCs w:val="24"/>
        </w:rPr>
        <w:t>являющееся правообладателем земельного участка (далее - заявитель).</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8"/>
          <w:szCs w:val="28"/>
          <w:u w:val="single"/>
          <w:lang w:bidi="ru-RU"/>
        </w:rPr>
        <w:t>(</w:t>
      </w:r>
      <w:hyperlink r:id="rId2">
        <w:r>
          <w:rPr>
            <w:rStyle w:val="Style13"/>
            <w:rFonts w:ascii="Times New Roman" w:hAnsi="Times New Roman"/>
            <w:b w:val="false"/>
            <w:bCs w:val="false"/>
            <w:sz w:val="28"/>
            <w:szCs w:val="28"/>
            <w:lang w:bidi="ru-RU"/>
          </w:rPr>
          <w:t>https://kovylkinskoe-sp.ru/</w:t>
        </w:r>
      </w:hyperlink>
      <w:r>
        <w:rPr>
          <w:rFonts w:ascii="Times New Roman" w:hAnsi="Times New Roman"/>
          <w:b w:val="false"/>
          <w:bCs w:val="false"/>
          <w:sz w:val="28"/>
          <w:szCs w:val="28"/>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7" w:name="_Hlk99370069"/>
      <w:r>
        <w:rPr>
          <w:sz w:val="24"/>
          <w:szCs w:val="24"/>
        </w:rPr>
        <w:t>I</w:t>
      </w:r>
      <w:bookmarkEnd w:id="7"/>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 </w:t>
      </w:r>
      <w:bookmarkStart w:id="8" w:name="_Hlk107311549"/>
      <w:r>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8"/>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Уполномоченного органа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Уполномоченного органа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не более 49 рабочих дней с даты поступления заявления.</w:t>
      </w:r>
      <w:r>
        <w:rPr>
          <w:rStyle w:val="Style26"/>
          <w:rFonts w:ascii="Times New Roman" w:hAnsi="Times New Roman"/>
          <w:sz w:val="24"/>
          <w:szCs w:val="24"/>
        </w:rPr>
        <w:footnoteReference w:id="2"/>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 - 30 дней с даты поступления заявления в случае, указанном в части 1.1 статьи 40 Градостроительного кодекса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 – Градостроительный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pPr>
        <w:pStyle w:val="1"/>
        <w:ind w:left="0" w:hanging="0"/>
        <w:jc w:val="left"/>
        <w:rPr>
          <w:sz w:val="24"/>
          <w:szCs w:val="24"/>
        </w:rPr>
      </w:pPr>
      <w:r>
        <w:rPr>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согласноприложениюк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о переуступке прав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ренты (пожизненного содержания с иждивением)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закону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завещанию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5">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Основанием для отказа в предоставлении муниципальной услуги в соответствии со статьей 40 Градостроительного кодекса РФ являются следующие случаи: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правообладатель (представитель правообладателя) земельного участка (за исключением правообладателя (представителя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повторно запрашивает отклонение от предельных параметров разрешенного строительства, реконструкции объектов капитального строительства в целях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приведет к нарушению требований технических регламентов;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подано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pPr>
        <w:pStyle w:val="1"/>
        <w:rPr>
          <w:sz w:val="24"/>
          <w:szCs w:val="24"/>
        </w:rPr>
      </w:pPr>
      <w:r>
        <w:rPr>
          <w:sz w:val="24"/>
          <w:szCs w:val="24"/>
        </w:rPr>
      </w:r>
    </w:p>
    <w:p>
      <w:pPr>
        <w:pStyle w:val="1"/>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bookmarkStart w:id="9" w:name="sub_203111"/>
      <w:bookmarkEnd w:id="9"/>
      <w:r>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bookmarkStart w:id="10" w:name="sub_203112"/>
      <w:bookmarkEnd w:id="10"/>
      <w:r>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pPr>
        <w:pStyle w:val="Normal"/>
        <w:widowControl w:val="false"/>
        <w:spacing w:lineRule="auto" w:line="240" w:before="0" w:after="0"/>
        <w:ind w:firstLine="567"/>
        <w:jc w:val="both"/>
        <w:rPr>
          <w:rFonts w:ascii="Times New Roman" w:hAnsi="Times New Roman"/>
          <w:sz w:val="24"/>
          <w:szCs w:val="24"/>
        </w:rPr>
      </w:pPr>
      <w:bookmarkStart w:id="11" w:name="sub_203114"/>
      <w:bookmarkStart w:id="12" w:name="sub_2031121"/>
      <w:bookmarkEnd w:id="11"/>
      <w:bookmarkEnd w:id="12"/>
      <w:r>
        <w:rPr>
          <w:rFonts w:ascii="Times New Roman" w:hAnsi="Times New Roman"/>
          <w:sz w:val="24"/>
          <w:szCs w:val="24"/>
        </w:rPr>
        <w:t>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bookmarkStart w:id="13" w:name="sub_203115"/>
      <w:bookmarkStart w:id="14" w:name="sub_2031141"/>
      <w:bookmarkEnd w:id="13"/>
      <w:bookmarkEnd w:id="14"/>
      <w:r>
        <w:rPr>
          <w:rFonts w:ascii="Times New Roman" w:hAnsi="Times New Roman"/>
          <w:sz w:val="24"/>
          <w:szCs w:val="24"/>
        </w:rPr>
        <w:t>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bookmarkStart w:id="15" w:name="sub_203116"/>
      <w:bookmarkStart w:id="16" w:name="sub_2031151"/>
      <w:bookmarkEnd w:id="15"/>
      <w:bookmarkEnd w:id="16"/>
      <w:r>
        <w:rPr>
          <w:rFonts w:ascii="Times New Roman" w:hAnsi="Times New Roman"/>
          <w:sz w:val="24"/>
          <w:szCs w:val="24"/>
        </w:rPr>
        <w:t>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выдача результата на бумажном носителе (опционально)</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"Об электронной подписи".</w:t>
      </w:r>
    </w:p>
    <w:p>
      <w:pPr>
        <w:pStyle w:val="Normal"/>
        <w:widowControl w:val="false"/>
        <w:spacing w:lineRule="auto" w:line="240" w:before="0" w:after="0"/>
        <w:ind w:firstLine="567"/>
        <w:jc w:val="both"/>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8">
        <w:r>
          <w:rPr>
            <w:rStyle w:val="Style13"/>
            <w:rFonts w:ascii="Times New Roman" w:hAnsi="Times New Roman"/>
            <w:color w:val="00000A"/>
            <w:sz w:val="24"/>
            <w:szCs w:val="24"/>
            <w:u w:val="none"/>
          </w:rPr>
          <w:t>статьи 11</w:t>
        </w:r>
      </w:hyperlink>
      <w:r>
        <w:rPr>
          <w:rFonts w:ascii="Times New Roman" w:hAnsi="Times New Roman"/>
          <w:sz w:val="24"/>
          <w:szCs w:val="24"/>
        </w:rPr>
        <w:t xml:space="preserve"> Федерального закона "Об электронной подписи".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документов осуществляется: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pPr>
        <w:pStyle w:val="Normal"/>
        <w:widowControl w:val="false"/>
        <w:spacing w:lineRule="auto" w:line="240" w:before="0" w:after="0"/>
        <w:ind w:firstLine="567"/>
        <w:jc w:val="both"/>
        <w:rPr>
          <w:rFonts w:ascii="Times New Roman" w:hAnsi="Times New Roman"/>
          <w:iCs/>
          <w:sz w:val="24"/>
          <w:szCs w:val="24"/>
        </w:rPr>
      </w:pPr>
      <w:r>
        <w:rPr>
          <w:rFonts w:ascii="Times New Roman" w:hAnsi="Times New Roman"/>
          <w:iCs/>
          <w:sz w:val="24"/>
          <w:szCs w:val="24"/>
        </w:rPr>
        <w:t xml:space="preserve">Решение </w:t>
      </w:r>
      <w:r>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w:t>
      </w:r>
      <w:r>
        <w:rPr>
          <w:rFonts w:ascii="Times New Roman" w:hAnsi="Times New Roman"/>
          <w:iCs/>
          <w:sz w:val="24"/>
          <w:szCs w:val="24"/>
        </w:rPr>
        <w:t xml:space="preserve">направляется в течение 3 дней со дня </w:t>
      </w:r>
      <w:r>
        <w:rPr>
          <w:rFonts w:ascii="Times New Roman" w:hAnsi="Times New Roman"/>
          <w:sz w:val="24"/>
          <w:szCs w:val="24"/>
        </w:rPr>
        <w:t>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решения </w:t>
      </w:r>
      <w:r>
        <w:rPr>
          <w:rFonts w:ascii="Times New Roman" w:hAnsi="Times New Roman"/>
          <w:sz w:val="24"/>
          <w:szCs w:val="24"/>
        </w:rPr>
        <w:t>об отказе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 направляет принятое решение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настоящим административным регламентом.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 иной официальной информации.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размещение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информационных материалов к нему на официальном сайте муниципального образования  Ковылкинского сельского поселения Тацинского района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проводит экспозицию или экспозиции информационных материалов проекта;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консультирует посетителей экспозиции;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осуществляет прием предложений и замечаний от участников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направляет заключение о результатах общественных обсуждений в Комиссию;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отказа в предоставлении такого разрешения с указанием причин принятого 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течение 7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 предоставлении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Руководитель Уполномоченного органа подписывает соответствующий проект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не более 5 рабочих дней с даты поступления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указанногов пункте3.1.2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 xml:space="preserve">3.1.7. </w:t>
      </w:r>
      <w:r>
        <w:rPr>
          <w:rFonts w:ascii="Times New Roman" w:hAnsi="Times New Roman"/>
          <w:bCs/>
          <w:sz w:val="24"/>
          <w:szCs w:val="24"/>
          <w:u w:val="single"/>
        </w:rPr>
        <w:t>Выдача результата на бумажном носителе (опционально)</w:t>
      </w:r>
      <w:r>
        <w:rPr>
          <w:rFonts w:ascii="Times New Roman" w:hAnsi="Times New Roman"/>
          <w:sz w:val="24"/>
          <w:szCs w:val="24"/>
          <w:u w:val="single"/>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 даты регистрации решения о предоставлении разрешения (решение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7" w:name="_Hlk99376589"/>
      <w:bookmarkEnd w:id="17"/>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_______________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rFonts w:ascii="Times New Roman" w:hAnsi="Times New Roman"/>
          <w:sz w:val="24"/>
          <w:szCs w:val="24"/>
        </w:rPr>
      </w:pPr>
      <w:bookmarkStart w:id="18" w:name="_Hlk94101634"/>
      <w:bookmarkStart w:id="19" w:name="_Hlk94101634"/>
      <w:bookmarkEnd w:id="19"/>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20" w:name="_Hlk98148241"/>
      <w:bookmarkStart w:id="21" w:name="_Hlk941016341"/>
      <w:bookmarkStart w:id="22" w:name="_Hlk98148241"/>
      <w:bookmarkStart w:id="23" w:name="_Hlk941016341"/>
      <w:bookmarkEnd w:id="23"/>
      <w:r>
        <w:rPr>
          <w:rFonts w:ascii="Times New Roman" w:hAnsi="Times New Roman"/>
          <w:sz w:val="24"/>
          <w:szCs w:val="24"/>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ПРИЛОЖЕНИЕ</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color w:val="000000"/>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2"/>
      <w:r>
        <w:rPr>
          <w:rFonts w:ascii="Times New Roman" w:hAnsi="Times New Roman"/>
          <w:sz w:val="20"/>
          <w:szCs w:val="20"/>
        </w:rPr>
        <w:t>"</w:t>
      </w:r>
    </w:p>
    <w:tbl>
      <w:tblPr>
        <w:tblStyle w:val="aff"/>
        <w:tblW w:w="7478" w:type="dxa"/>
        <w:jc w:val="left"/>
        <w:tblInd w:w="2943" w:type="dxa"/>
        <w:tblCellMar>
          <w:top w:w="0" w:type="dxa"/>
          <w:left w:w="113" w:type="dxa"/>
          <w:bottom w:w="0" w:type="dxa"/>
          <w:right w:w="108" w:type="dxa"/>
        </w:tblCellMar>
        <w:tblLook w:val="04a0"/>
      </w:tblPr>
      <w:tblGrid>
        <w:gridCol w:w="7478"/>
      </w:tblGrid>
      <w:tr>
        <w:trPr/>
        <w:tc>
          <w:tcPr>
            <w:tcW w:w="7478" w:type="dxa"/>
            <w:tcBorders>
              <w:top w:val="nil"/>
              <w:left w:val="nil"/>
              <w:bottom w:val="nil"/>
              <w:right w:val="nil"/>
              <w:insideH w:val="nil"/>
              <w:insideV w:val="nil"/>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В     Администрацию      муниципального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 xml:space="preserve">образования ___________________________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rFonts w:ascii="Times New Roman" w:hAnsi="Times New Roman"/>
                <w:sz w:val="24"/>
                <w:szCs w:val="24"/>
              </w:rPr>
            </w:pPr>
            <w:bookmarkStart w:id="24" w:name="_GoBack"/>
            <w:bookmarkStart w:id="25" w:name="_GoBack"/>
            <w:bookmarkEnd w:id="25"/>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от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(фамилия, имя, отчество -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и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уполномоченного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организации - для юридических лиц</w:t>
            </w:r>
          </w:p>
          <w:p>
            <w:pPr>
              <w:pStyle w:val="Normal"/>
              <w:tabs>
                <w:tab w:val="left" w:pos="33"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(юридический адрес, место нахождения)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В лице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действующего на основании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(наименование и реквизиты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подтверждающего полномочия)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rPr>
                <w:sz w:val="24"/>
                <w:szCs w:val="24"/>
              </w:rPr>
            </w:pPr>
            <w:r>
              <w:rPr>
                <w:rFonts w:ascii="Times New Roman" w:hAnsi="Times New Roman"/>
                <w:sz w:val="24"/>
                <w:szCs w:val="24"/>
              </w:rPr>
              <w:t xml:space="preserve">                                    </w:t>
            </w:r>
            <w:r>
              <w:rPr>
                <w:rFonts w:ascii="Times New Roman" w:hAnsi="Times New Roman"/>
                <w:sz w:val="24"/>
                <w:szCs w:val="24"/>
              </w:rPr>
              <w:t>_______________________________________</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ascii="Times New Roman" w:hAnsi="Times New Roman"/>
          <w:sz w:val="24"/>
          <w:szCs w:val="24"/>
        </w:rPr>
        <w:t xml:space="preserve">В  соответствии  со  </w:t>
      </w:r>
      <w:hyperlink r:id="rId15">
        <w:r>
          <w:rPr>
            <w:rStyle w:val="Style13"/>
            <w:rFonts w:ascii="Times New Roman" w:hAnsi="Times New Roman"/>
            <w:color w:val="00000A"/>
            <w:sz w:val="24"/>
            <w:szCs w:val="24"/>
            <w:u w:val="none"/>
          </w:rPr>
          <w:t>статьей  40</w:t>
        </w:r>
      </w:hyperlink>
      <w:r>
        <w:rPr>
          <w:rFonts w:ascii="Times New Roman" w:hAnsi="Times New Roman"/>
          <w:sz w:val="24"/>
          <w:szCs w:val="24"/>
        </w:rPr>
        <w:t xml:space="preserve">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(указывается наименование объекта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планируемого к  строительству  (реконструкции), расположенного на земельном участке с кадастровым номером: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части уменьшения минимального отступа от границ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(указываются запрашиваемые параметры разрешенного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 увеличения (уменьшения) максимального (минимального) процента застройки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 связи с 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ascii="Times New Roman" w:hAnsi="Times New Roman"/>
          <w:sz w:val="24"/>
          <w:szCs w:val="24"/>
        </w:rPr>
        <w:t xml:space="preserve">           </w:t>
      </w:r>
      <w:r>
        <w:rPr>
          <w:rFonts w:ascii="Times New Roman" w:hAnsi="Times New Roman"/>
          <w:sz w:val="20"/>
          <w:szCs w:val="20"/>
        </w:rPr>
        <w:t xml:space="preserve">(указываются характеристики земельного участка, неблагоприятные  для застройки в соответствии с </w:t>
      </w:r>
      <w:hyperlink r:id="rId16">
        <w:r>
          <w:rPr>
            <w:rStyle w:val="Style13"/>
            <w:rFonts w:ascii="Times New Roman" w:hAnsi="Times New Roman"/>
            <w:color w:val="00000A"/>
            <w:sz w:val="20"/>
            <w:szCs w:val="20"/>
            <w:u w:val="none"/>
          </w:rPr>
          <w:t xml:space="preserve">частью 1                  </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hyperlink r:id="rId17">
        <w:r>
          <w:rPr>
            <w:rStyle w:val="Style13"/>
            <w:rFonts w:ascii="Times New Roman" w:hAnsi="Times New Roman"/>
            <w:color w:val="00000A"/>
            <w:sz w:val="20"/>
            <w:szCs w:val="20"/>
            <w:u w:val="none"/>
          </w:rPr>
          <w:t xml:space="preserve">                              </w:t>
        </w:r>
        <w:r>
          <w:rPr>
            <w:rStyle w:val="Style13"/>
            <w:rFonts w:ascii="Times New Roman" w:hAnsi="Times New Roman"/>
            <w:color w:val="00000A"/>
            <w:sz w:val="20"/>
            <w:szCs w:val="20"/>
            <w:u w:val="none"/>
          </w:rPr>
          <w:t>статьи 40</w:t>
        </w:r>
      </w:hyperlink>
      <w:r>
        <w:rPr>
          <w:rFonts w:ascii="Times New Roman" w:hAnsi="Times New Roman"/>
          <w:sz w:val="20"/>
          <w:szCs w:val="20"/>
        </w:rPr>
        <w:t xml:space="preserve">  Градостроительного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К заявлению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прилагается  схема  с  указанием  планируемых  отклонений  (с привязкой 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сторонам света, местности)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(наименование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ascii="Times New Roman" w:hAnsi="Times New Roman"/>
          <w:sz w:val="24"/>
          <w:szCs w:val="24"/>
        </w:rPr>
        <w:t xml:space="preserve">    </w:t>
      </w:r>
      <w:r>
        <w:rPr>
          <w:rFonts w:ascii="Times New Roman" w:hAnsi="Times New Roman"/>
          <w:sz w:val="24"/>
          <w:szCs w:val="24"/>
        </w:rPr>
        <w:t xml:space="preserve">Настоящим даю согласие на обработку моих персональных данных, а именно: фамилию,  имя, отчество, адрес места жительства, номер основного документа, удостоверяющего мою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сведений о принадлежащем мне  имуществе,  номеров  телефонов  и  иных  сведений необходимых в рамках предоставления    муниципальной   услуги   согласно   Федерального   </w:t>
      </w:r>
      <w:hyperlink r:id="rId18">
        <w:r>
          <w:rPr>
            <w:rStyle w:val="Style13"/>
            <w:rFonts w:ascii="Times New Roman" w:hAnsi="Times New Roman"/>
            <w:color w:val="00000A"/>
            <w:sz w:val="24"/>
            <w:szCs w:val="24"/>
            <w:u w:val="none"/>
          </w:rPr>
          <w:t>закона</w:t>
        </w:r>
      </w:hyperlink>
      <w:r>
        <w:rPr>
          <w:rFonts w:ascii="Times New Roman" w:hAnsi="Times New Roman"/>
          <w:sz w:val="24"/>
          <w:szCs w:val="24"/>
        </w:rPr>
        <w:t xml:space="preserve"> от 27.07.2006 N 152-ФЗ "О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Настоящим   подтверждаю   готовность   нести   расходы,   связанные   с организацией и проведением публичных слушаний.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Результат   предоставления   услуги   (проставьте   знак  "v"  напротив выбранного способа):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получу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прошу направить почтовым отправлением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прошу направить по электронной почте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получу лично в МФЦ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 ____________ 20___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26" w:name="_Toc486608800"/>
      <w:bookmarkStart w:id="27" w:name="_Toc486608800"/>
      <w:bookmarkEnd w:id="27"/>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pPr>
      <w:r>
        <w:rPr/>
      </w:r>
    </w:p>
    <w:sectPr>
      <w:footnotePr>
        <w:numFmt w:val="decimal"/>
      </w:footnote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uppressAutoHyphens w:val="true"/>
        <w:spacing w:lineRule="auto" w:line="240" w:before="0" w:after="0"/>
        <w:jc w:val="both"/>
        <w:rPr>
          <w:rFonts w:ascii="Times New Roman" w:hAnsi="Times New Roman"/>
          <w:sz w:val="16"/>
          <w:szCs w:val="16"/>
        </w:rPr>
      </w:pPr>
      <w:r>
        <w:rPr>
          <w:rStyle w:val="Footnotereference"/>
          <w:rFonts w:eastAsia="Calibri" w:ascii="Times New Roman" w:hAnsi="Times New Roman"/>
          <w:sz w:val="16"/>
          <w:szCs w:val="16"/>
        </w:rPr>
        <w:footnoteRef/>
        <w:tab/>
      </w:r>
      <w:r>
        <w:rPr>
          <w:rFonts w:ascii="Times New Roman" w:hAnsi="Times New Roman"/>
          <w:sz w:val="16"/>
          <w:szCs w:val="16"/>
        </w:rPr>
        <w:t xml:space="preserve"> </w:t>
      </w:r>
      <w:r>
        <w:rPr>
          <w:rFonts w:ascii="Times New Roman" w:hAnsi="Times New Roman"/>
          <w:sz w:val="16"/>
          <w:szCs w:val="16"/>
        </w:rPr>
        <w:t>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pPr>
        <w:pStyle w:val="Normal"/>
        <w:suppressAutoHyphens w:val="true"/>
        <w:spacing w:lineRule="auto" w:line="240" w:before="0" w:after="0"/>
        <w:jc w:val="both"/>
        <w:rPr>
          <w:rFonts w:ascii="Times New Roman" w:hAnsi="Times New Roman"/>
          <w:sz w:val="16"/>
          <w:szCs w:val="16"/>
        </w:rPr>
      </w:pPr>
      <w:r>
        <w:rPr>
          <w:rFonts w:ascii="Times New Roman" w:hAnsi="Times New Roman"/>
          <w:sz w:val="16"/>
          <w:szCs w:val="16"/>
        </w:rPr>
        <w:tab/>
        <w:t>-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
    <w:p>
      <w:pPr>
        <w:pStyle w:val="Normal"/>
        <w:suppressAutoHyphens w:val="true"/>
        <w:spacing w:lineRule="auto" w:line="240" w:before="0" w:after="0"/>
        <w:jc w:val="both"/>
        <w:rPr>
          <w:rFonts w:ascii="Times New Roman" w:hAnsi="Times New Roman"/>
          <w:sz w:val="16"/>
          <w:szCs w:val="16"/>
        </w:rPr>
      </w:pPr>
      <w:r>
        <w:rPr>
          <w:rFonts w:ascii="Times New Roman" w:hAnsi="Times New Roman"/>
          <w:sz w:val="16"/>
          <w:szCs w:val="16"/>
        </w:rPr>
        <w:tab/>
        <w:t>- срок подготовки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 течение 15 рабочих дней со дня поступления заявления о предоставлении такого разрешения (часть 4 статьи 40 Градостроительного кодекса РФ);</w:t>
      </w:r>
    </w:p>
    <w:p>
      <w:pPr>
        <w:pStyle w:val="Normal"/>
        <w:suppressAutoHyphens w:val="true"/>
        <w:spacing w:lineRule="auto" w:line="240" w:before="0" w:after="0"/>
        <w:jc w:val="both"/>
        <w:rPr>
          <w:rFonts w:ascii="Times New Roman" w:hAnsi="Times New Roman"/>
          <w:sz w:val="16"/>
          <w:szCs w:val="16"/>
        </w:rPr>
      </w:pPr>
      <w:r>
        <w:rPr>
          <w:rFonts w:ascii="Times New Roman" w:hAnsi="Times New Roman"/>
          <w:sz w:val="16"/>
          <w:szCs w:val="16"/>
        </w:rPr>
        <w:tab/>
        <w:t xml:space="preserve">- срок подготовки комиссией по подготовке проекта правил землепользования и застройки муниципального образования (далее - комиссия) рекомендаций о предоставлении разрешения или об отказе в предоставлении разрешения с указанием причин принятого решения и направления указанных рекомендаций руководителю уполномоченного органа на основании заключения о результатах общественных обсуждений или публичных слушаний по проекту решения о предоставлении разрешения - в течение 15 рабочих дней со дня окончания таких обсуждений или слушаний (часть 5 статьи 40 Градостроительного кодекса РФ); </w:t>
      </w:r>
    </w:p>
    <w:p>
      <w:pPr>
        <w:pStyle w:val="Normal"/>
        <w:spacing w:lineRule="auto" w:line="240" w:before="0" w:after="0"/>
        <w:jc w:val="both"/>
        <w:rPr/>
      </w:pPr>
      <w:r>
        <w:rPr>
          <w:rFonts w:ascii="Times New Roman" w:hAnsi="Times New Roman"/>
          <w:sz w:val="16"/>
          <w:szCs w:val="16"/>
        </w:rPr>
        <w:tab/>
        <w:t xml:space="preserve">- срок принятия решения о предоставлении (отказе в предоставлении) разрешения - в течение 7 дней со дня поступления рекомендаций комиссии, подготовленных на основании </w:t>
      </w:r>
      <w:r>
        <w:rPr>
          <w:rFonts w:eastAsia="Calibri" w:ascii="Times New Roman" w:hAnsi="Times New Roman"/>
          <w:sz w:val="16"/>
          <w:szCs w:val="16"/>
        </w:rPr>
        <w:t xml:space="preserve">заключения о результатах общественных обсуждений или публичных слушаний </w:t>
      </w:r>
      <w:r>
        <w:rPr>
          <w:rFonts w:ascii="Times New Roman" w:hAnsi="Times New Roman"/>
          <w:sz w:val="16"/>
          <w:szCs w:val="16"/>
        </w:rPr>
        <w:t>(часть 6 статьи 40 Градостроительного кодекса РФ).</w:t>
      </w:r>
    </w:p>
  </w:footnote>
</w:footnotes>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5">
    <w:name w:val="Символ сноски"/>
    <w:qFormat/>
    <w:rPr/>
  </w:style>
  <w:style w:type="character" w:styleId="Style26">
    <w:name w:val="Привязка сноски"/>
    <w:rPr>
      <w:vertAlign w:val="superscript"/>
    </w:rPr>
  </w:style>
  <w:style w:type="character" w:styleId="Style27">
    <w:name w:val="Привязка концевой сноски"/>
    <w:rPr>
      <w:vertAlign w:val="superscript"/>
    </w:rPr>
  </w:style>
  <w:style w:type="character" w:styleId="Style28">
    <w:name w:val="Символы концевой сноски"/>
    <w:qFormat/>
    <w:rPr/>
  </w:style>
  <w:style w:type="paragraph" w:styleId="Style29" w:customStyle="1">
    <w:name w:val="Заголовок"/>
    <w:basedOn w:val="Normal"/>
    <w:next w:val="Style30"/>
    <w:uiPriority w:val="99"/>
    <w:qFormat/>
    <w:rsid w:val="00237533"/>
    <w:pPr>
      <w:widowControl/>
      <w:bidi w:val="0"/>
      <w:jc w:val="left"/>
    </w:pPr>
    <w:rPr>
      <w:rFonts w:ascii="Arial" w:hAnsi="Arial" w:cs="Arial"/>
      <w:b/>
      <w:bCs/>
    </w:rPr>
  </w:style>
  <w:style w:type="paragraph" w:styleId="Style30">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4">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5">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6">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7"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8"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9"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40">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41">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42"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43"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paragraph" w:styleId="Style44">
    <w:name w:val="Footnote Text"/>
    <w:basedOn w:val="Normal"/>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16FF902BDFE25612FA4EB7B7F2CC3DD866E795FBBD4973CF464A4C1BC177F5EEF6178D0973E1DF18nECCO" TargetMode="External"/><Relationship Id="rId8" Type="http://schemas.openxmlformats.org/officeDocument/2006/relationships/hyperlink" Target="consultantplus://offline/ref=8F6EFCEBD78D73945BB09737A027B4142E33081DC130F502F77E0E3DD8F195EB1B53B1CE58D9EE82C8o9N"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https://login.consultant.ru/link/?req=doc&amp;base=LAW&amp;n=422125&amp;dst=100628&amp;field=134&amp;date=25.07.2022" TargetMode="External"/><Relationship Id="rId16" Type="http://schemas.openxmlformats.org/officeDocument/2006/relationships/hyperlink" Target="https://login.consultant.ru/link/?req=doc&amp;base=LAW&amp;n=422125&amp;dst=100629&amp;field=134&amp;date=25.07.2022" TargetMode="External"/><Relationship Id="rId17" Type="http://schemas.openxmlformats.org/officeDocument/2006/relationships/hyperlink" Target="https://login.consultant.ru/link/?req=doc&amp;base=LAW&amp;n=422125&amp;dst=100629&amp;field=134&amp;date=25.07.2022" TargetMode="External"/><Relationship Id="rId18" Type="http://schemas.openxmlformats.org/officeDocument/2006/relationships/hyperlink" Target="https://login.consultant.ru/link/?req=doc&amp;base=LAW&amp;n=389193&amp;date=25.07.2022" TargetMode="External"/><Relationship Id="rId1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1C11-5796-400E-850A-E8214259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LibreOffice/5.3.3.2$Windows_X86_64 LibreOffice_project/3d9a8b4b4e538a85e0782bd6c2d430bafe583448</Application>
  <Pages>26</Pages>
  <Words>10604</Words>
  <Characters>85085</Characters>
  <CharactersWithSpaces>96838</CharactersWithSpaces>
  <Paragraphs>557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2022-12-16T15:24:31Z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